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18162" w14:textId="77777777" w:rsidR="001012B3" w:rsidRPr="001012B3" w:rsidRDefault="001012B3" w:rsidP="001012B3">
      <w:pPr>
        <w:spacing w:after="0" w:line="240" w:lineRule="auto"/>
        <w:jc w:val="center"/>
        <w:rPr>
          <w:rFonts w:ascii="Times New Roman" w:eastAsia="Times New Roman" w:hAnsi="Times New Roman" w:cs="Times New Roman"/>
          <w:b/>
          <w:caps/>
          <w:sz w:val="24"/>
          <w:szCs w:val="24"/>
        </w:rPr>
      </w:pPr>
      <w:r w:rsidRPr="001012B3">
        <w:rPr>
          <w:rFonts w:ascii="Times New Roman" w:eastAsia="Times New Roman" w:hAnsi="Times New Roman" w:cs="Times New Roman"/>
          <w:b/>
          <w:caps/>
          <w:sz w:val="24"/>
          <w:szCs w:val="24"/>
        </w:rPr>
        <w:t>DOCKET NO. 49732</w:t>
      </w:r>
    </w:p>
    <w:p w14:paraId="26CD7F52" w14:textId="77777777" w:rsidR="001012B3" w:rsidRPr="001012B3" w:rsidRDefault="001012B3" w:rsidP="001012B3">
      <w:pPr>
        <w:spacing w:after="0" w:line="240" w:lineRule="auto"/>
        <w:jc w:val="center"/>
        <w:rPr>
          <w:rFonts w:ascii="Times New Roman" w:eastAsia="Times New Roman" w:hAnsi="Times New Roman" w:cs="Times New Roman"/>
          <w:b/>
          <w:sz w:val="24"/>
          <w:szCs w:val="20"/>
        </w:rPr>
      </w:pPr>
    </w:p>
    <w:tbl>
      <w:tblPr>
        <w:tblW w:w="0" w:type="auto"/>
        <w:tblLayout w:type="fixed"/>
        <w:tblLook w:val="01E0" w:firstRow="1" w:lastRow="1" w:firstColumn="1" w:lastColumn="1" w:noHBand="0" w:noVBand="0"/>
      </w:tblPr>
      <w:tblGrid>
        <w:gridCol w:w="4500"/>
        <w:gridCol w:w="360"/>
        <w:gridCol w:w="4500"/>
      </w:tblGrid>
      <w:tr w:rsidR="001012B3" w:rsidRPr="001012B3" w14:paraId="72B14992" w14:textId="77777777" w:rsidTr="00D70611">
        <w:tc>
          <w:tcPr>
            <w:tcW w:w="4500" w:type="dxa"/>
          </w:tcPr>
          <w:p w14:paraId="349A23DD" w14:textId="77777777" w:rsidR="001012B3" w:rsidRPr="001012B3" w:rsidRDefault="001012B3" w:rsidP="001012B3">
            <w:pPr>
              <w:spacing w:after="0" w:line="240" w:lineRule="auto"/>
              <w:rPr>
                <w:rFonts w:ascii="Times New Roman" w:eastAsia="Times New Roman" w:hAnsi="Times New Roman" w:cs="Times New Roman"/>
                <w:b/>
                <w:sz w:val="24"/>
                <w:szCs w:val="20"/>
              </w:rPr>
            </w:pPr>
            <w:r w:rsidRPr="001012B3">
              <w:rPr>
                <w:rFonts w:ascii="Times New Roman" w:eastAsia="Times New Roman" w:hAnsi="Times New Roman" w:cs="Times New Roman"/>
                <w:b/>
                <w:sz w:val="24"/>
                <w:szCs w:val="20"/>
              </w:rPr>
              <w:t>COMPLAINT OF PAUL HAWKINS AGAINST MONARCH UTILITIES I, L.P.</w:t>
            </w:r>
          </w:p>
        </w:tc>
        <w:tc>
          <w:tcPr>
            <w:tcW w:w="360" w:type="dxa"/>
          </w:tcPr>
          <w:p w14:paraId="185E9C2C" w14:textId="77777777" w:rsidR="001012B3" w:rsidRPr="001012B3" w:rsidRDefault="001012B3" w:rsidP="001012B3">
            <w:pPr>
              <w:spacing w:after="0" w:line="240" w:lineRule="auto"/>
              <w:jc w:val="both"/>
              <w:rPr>
                <w:rFonts w:ascii="Times New Roman" w:eastAsia="Times New Roman" w:hAnsi="Times New Roman" w:cs="Times New Roman"/>
                <w:b/>
                <w:sz w:val="24"/>
                <w:szCs w:val="20"/>
              </w:rPr>
            </w:pPr>
            <w:r w:rsidRPr="001012B3">
              <w:rPr>
                <w:rFonts w:ascii="Times New Roman" w:eastAsia="Times New Roman" w:hAnsi="Times New Roman" w:cs="Times New Roman"/>
                <w:b/>
                <w:sz w:val="24"/>
                <w:szCs w:val="20"/>
              </w:rPr>
              <w:t>§</w:t>
            </w:r>
          </w:p>
          <w:p w14:paraId="0099F105" w14:textId="77777777" w:rsidR="001012B3" w:rsidRPr="001012B3" w:rsidRDefault="001012B3" w:rsidP="001012B3">
            <w:pPr>
              <w:spacing w:after="0" w:line="240" w:lineRule="auto"/>
              <w:jc w:val="both"/>
              <w:rPr>
                <w:rFonts w:ascii="Times New Roman" w:eastAsia="Times New Roman" w:hAnsi="Times New Roman" w:cs="Times New Roman"/>
                <w:b/>
                <w:sz w:val="24"/>
                <w:szCs w:val="20"/>
              </w:rPr>
            </w:pPr>
            <w:r w:rsidRPr="001012B3">
              <w:rPr>
                <w:rFonts w:ascii="Times New Roman" w:eastAsia="Times New Roman" w:hAnsi="Times New Roman" w:cs="Times New Roman"/>
                <w:b/>
                <w:sz w:val="24"/>
                <w:szCs w:val="20"/>
              </w:rPr>
              <w:t>§</w:t>
            </w:r>
          </w:p>
          <w:p w14:paraId="2CC006AA" w14:textId="77777777" w:rsidR="001012B3" w:rsidRPr="001012B3" w:rsidRDefault="001012B3" w:rsidP="001012B3">
            <w:pPr>
              <w:spacing w:after="0" w:line="240" w:lineRule="auto"/>
              <w:jc w:val="both"/>
              <w:rPr>
                <w:rFonts w:ascii="Times New Roman" w:eastAsia="Times New Roman" w:hAnsi="Times New Roman" w:cs="Times New Roman"/>
                <w:b/>
                <w:sz w:val="24"/>
                <w:szCs w:val="20"/>
              </w:rPr>
            </w:pPr>
            <w:r w:rsidRPr="001012B3">
              <w:rPr>
                <w:rFonts w:ascii="Times New Roman" w:eastAsia="Times New Roman" w:hAnsi="Times New Roman" w:cs="Times New Roman"/>
                <w:b/>
                <w:sz w:val="24"/>
                <w:szCs w:val="20"/>
              </w:rPr>
              <w:t>§</w:t>
            </w:r>
          </w:p>
        </w:tc>
        <w:tc>
          <w:tcPr>
            <w:tcW w:w="4500" w:type="dxa"/>
          </w:tcPr>
          <w:p w14:paraId="5DCC63ED" w14:textId="77777777" w:rsidR="001012B3" w:rsidRPr="001012B3"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012B3">
              <w:rPr>
                <w:rFonts w:ascii="Times New Roman" w:eastAsia="Times New Roman" w:hAnsi="Times New Roman" w:cs="Times New Roman"/>
                <w:b/>
                <w:bCs/>
                <w:caps/>
                <w:sz w:val="24"/>
                <w:szCs w:val="20"/>
              </w:rPr>
              <w:t>PUBLIC UTILITY COMMISSION</w:t>
            </w:r>
          </w:p>
          <w:p w14:paraId="05225AF9" w14:textId="77777777" w:rsidR="001012B3" w:rsidRPr="001012B3"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208B26A" w14:textId="77777777" w:rsidR="001012B3" w:rsidRPr="001012B3" w:rsidRDefault="001012B3" w:rsidP="001012B3">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012B3">
              <w:rPr>
                <w:rFonts w:ascii="Times New Roman" w:eastAsia="Times New Roman" w:hAnsi="Times New Roman" w:cs="Times New Roman"/>
                <w:b/>
                <w:bCs/>
                <w:caps/>
                <w:sz w:val="24"/>
                <w:szCs w:val="20"/>
              </w:rPr>
              <w:t>OF TEXAS</w:t>
            </w:r>
          </w:p>
        </w:tc>
      </w:tr>
    </w:tbl>
    <w:p w14:paraId="166067AB" w14:textId="77777777" w:rsidR="001012B3" w:rsidRPr="001012B3" w:rsidRDefault="001012B3" w:rsidP="001012B3">
      <w:pPr>
        <w:keepNext/>
        <w:spacing w:after="0" w:line="240" w:lineRule="auto"/>
        <w:jc w:val="center"/>
        <w:rPr>
          <w:rFonts w:ascii="Times New Roman" w:eastAsia="Times New Roman" w:hAnsi="Times New Roman" w:cs="Times New Roman"/>
          <w:b/>
          <w:caps/>
          <w:sz w:val="24"/>
          <w:szCs w:val="24"/>
        </w:rPr>
      </w:pPr>
    </w:p>
    <w:p w14:paraId="31EA84F7" w14:textId="20599477" w:rsidR="0001256F" w:rsidRPr="00A95AA6" w:rsidRDefault="00145FA0" w:rsidP="00A15196">
      <w:pPr>
        <w:keepNext/>
        <w:spacing w:after="0" w:line="240" w:lineRule="auto"/>
        <w:jc w:val="center"/>
        <w:rPr>
          <w:rFonts w:ascii="Times New Roman" w:eastAsia="Times New Roman" w:hAnsi="Times New Roman" w:cs="Times New Roman"/>
          <w:b/>
          <w:caps/>
          <w:sz w:val="24"/>
          <w:szCs w:val="24"/>
        </w:rPr>
      </w:pPr>
      <w:r w:rsidRPr="00A95AA6">
        <w:rPr>
          <w:rFonts w:ascii="Times New Roman" w:eastAsia="Times New Roman" w:hAnsi="Times New Roman" w:cs="Times New Roman"/>
          <w:b/>
          <w:caps/>
          <w:sz w:val="24"/>
          <w:szCs w:val="24"/>
        </w:rPr>
        <w:t xml:space="preserve">COMMISSION </w:t>
      </w:r>
      <w:r w:rsidR="00A15196" w:rsidRPr="00A95AA6">
        <w:rPr>
          <w:rFonts w:ascii="Times New Roman" w:eastAsia="Times New Roman" w:hAnsi="Times New Roman" w:cs="Times New Roman"/>
          <w:b/>
          <w:caps/>
          <w:sz w:val="24"/>
          <w:szCs w:val="24"/>
        </w:rPr>
        <w:t xml:space="preserve">STAFF’S BRIEF ON </w:t>
      </w:r>
      <w:r w:rsidR="00AA1BCC">
        <w:rPr>
          <w:rFonts w:ascii="Times New Roman" w:eastAsia="Times New Roman" w:hAnsi="Times New Roman" w:cs="Times New Roman"/>
          <w:b/>
          <w:caps/>
          <w:sz w:val="24"/>
          <w:szCs w:val="24"/>
        </w:rPr>
        <w:t>EFFECTIVE DATE</w:t>
      </w:r>
      <w:r w:rsidR="00A15196" w:rsidRPr="00A95AA6">
        <w:rPr>
          <w:rFonts w:ascii="Times New Roman" w:eastAsia="Times New Roman" w:hAnsi="Times New Roman" w:cs="Times New Roman"/>
          <w:b/>
          <w:caps/>
          <w:sz w:val="24"/>
          <w:szCs w:val="24"/>
        </w:rPr>
        <w:t xml:space="preserve"> ISSUES</w:t>
      </w:r>
    </w:p>
    <w:p w14:paraId="0CFBB8EC" w14:textId="77777777" w:rsidR="0001256F" w:rsidRPr="00A95AA6" w:rsidRDefault="0001256F" w:rsidP="0001256F">
      <w:pPr>
        <w:keepNext/>
        <w:spacing w:after="0" w:line="240" w:lineRule="auto"/>
        <w:jc w:val="center"/>
        <w:rPr>
          <w:rFonts w:ascii="Times New Roman" w:eastAsia="Times New Roman" w:hAnsi="Times New Roman" w:cs="Times New Roman"/>
          <w:sz w:val="24"/>
          <w:szCs w:val="24"/>
        </w:rPr>
      </w:pPr>
    </w:p>
    <w:p w14:paraId="2FF1EA43" w14:textId="26E9503D" w:rsidR="0001256F" w:rsidRPr="00A95AA6" w:rsidRDefault="0001256F" w:rsidP="0001256F">
      <w:pPr>
        <w:spacing w:after="240" w:line="360" w:lineRule="auto"/>
        <w:ind w:firstLine="720"/>
        <w:jc w:val="both"/>
        <w:rPr>
          <w:rFonts w:ascii="Times New Roman" w:hAnsi="Times New Roman" w:cs="Times New Roman"/>
          <w:sz w:val="24"/>
          <w:szCs w:val="24"/>
        </w:rPr>
      </w:pPr>
      <w:r w:rsidRPr="00A95AA6">
        <w:rPr>
          <w:rFonts w:ascii="Times New Roman" w:eastAsia="Times New Roman" w:hAnsi="Times New Roman" w:cs="Times New Roman"/>
          <w:b/>
          <w:sz w:val="24"/>
          <w:szCs w:val="24"/>
        </w:rPr>
        <w:t xml:space="preserve">COMES NOW </w:t>
      </w:r>
      <w:r w:rsidRPr="00A95AA6">
        <w:rPr>
          <w:rFonts w:ascii="Times New Roman" w:eastAsia="Times New Roman" w:hAnsi="Times New Roman" w:cs="Times New Roman"/>
          <w:sz w:val="24"/>
          <w:szCs w:val="24"/>
        </w:rPr>
        <w:t>the Staff</w:t>
      </w:r>
      <w:r w:rsidR="00A46429" w:rsidRPr="00A95AA6">
        <w:rPr>
          <w:rFonts w:ascii="Times New Roman" w:eastAsia="Times New Roman" w:hAnsi="Times New Roman" w:cs="Times New Roman"/>
          <w:sz w:val="24"/>
          <w:szCs w:val="24"/>
        </w:rPr>
        <w:t xml:space="preserve"> (Staff)</w:t>
      </w:r>
      <w:r w:rsidRPr="00A95AA6">
        <w:rPr>
          <w:rFonts w:ascii="Times New Roman" w:eastAsia="Times New Roman" w:hAnsi="Times New Roman" w:cs="Times New Roman"/>
          <w:sz w:val="24"/>
          <w:szCs w:val="24"/>
        </w:rPr>
        <w:t xml:space="preserve"> of the Public Utility Commission of Texas (</w:t>
      </w:r>
      <w:r w:rsidR="00A46429" w:rsidRPr="00A95AA6">
        <w:rPr>
          <w:rFonts w:ascii="Times New Roman" w:eastAsia="Times New Roman" w:hAnsi="Times New Roman" w:cs="Times New Roman"/>
          <w:sz w:val="24"/>
          <w:szCs w:val="24"/>
        </w:rPr>
        <w:t>Commission</w:t>
      </w:r>
      <w:r w:rsidRPr="00A95AA6">
        <w:rPr>
          <w:rFonts w:ascii="Times New Roman" w:eastAsia="Times New Roman" w:hAnsi="Times New Roman" w:cs="Times New Roman"/>
          <w:sz w:val="24"/>
          <w:szCs w:val="24"/>
        </w:rPr>
        <w:t xml:space="preserve">), representing the public interest, and files this Staff’s Brief on </w:t>
      </w:r>
      <w:r w:rsidR="00AA1BCC">
        <w:rPr>
          <w:rFonts w:ascii="Times New Roman" w:eastAsia="Times New Roman" w:hAnsi="Times New Roman" w:cs="Times New Roman"/>
          <w:sz w:val="24"/>
          <w:szCs w:val="24"/>
        </w:rPr>
        <w:t>Effective Date</w:t>
      </w:r>
      <w:r w:rsidRPr="00A95AA6">
        <w:rPr>
          <w:rFonts w:ascii="Times New Roman" w:eastAsia="Times New Roman" w:hAnsi="Times New Roman" w:cs="Times New Roman"/>
          <w:sz w:val="24"/>
          <w:szCs w:val="24"/>
        </w:rPr>
        <w:t xml:space="preserve"> Issues. </w:t>
      </w:r>
      <w:r w:rsidRPr="00A95AA6">
        <w:rPr>
          <w:rFonts w:ascii="Times New Roman" w:hAnsi="Times New Roman" w:cs="Times New Roman"/>
          <w:sz w:val="24"/>
          <w:szCs w:val="24"/>
        </w:rPr>
        <w:t>In support thereof, Staff shows the following:</w:t>
      </w:r>
    </w:p>
    <w:p w14:paraId="6EB4CC7A" w14:textId="24BAA200" w:rsidR="0001256F" w:rsidRPr="00A95AA6" w:rsidRDefault="00A95AA6" w:rsidP="008D5DA1">
      <w:pPr>
        <w:pStyle w:val="Heading1"/>
      </w:pPr>
      <w:r w:rsidRPr="00A95AA6">
        <w:t>INTRODUCTION</w:t>
      </w:r>
    </w:p>
    <w:p w14:paraId="6CE5D5D9" w14:textId="3B080F8D" w:rsidR="00A46429" w:rsidRPr="00A95AA6" w:rsidRDefault="00A46429" w:rsidP="0001256F">
      <w:pPr>
        <w:spacing w:after="0" w:line="360" w:lineRule="auto"/>
        <w:ind w:firstLine="720"/>
        <w:jc w:val="both"/>
        <w:rPr>
          <w:rFonts w:ascii="Times New Roman" w:eastAsia="Times New Roman" w:hAnsi="Times New Roman" w:cs="Times New Roman"/>
          <w:sz w:val="24"/>
          <w:szCs w:val="24"/>
        </w:rPr>
      </w:pPr>
      <w:r w:rsidRPr="00A95AA6">
        <w:rPr>
          <w:rFonts w:ascii="Times New Roman" w:eastAsia="Times New Roman" w:hAnsi="Times New Roman" w:cs="Times New Roman"/>
          <w:sz w:val="24"/>
          <w:szCs w:val="24"/>
        </w:rPr>
        <w:t xml:space="preserve">On July 15, 2019, Paul Hawkins (Mr. Hawkins) filed a formal complaint against Monarch Utilities I, L.P. (Monarch) regarding pass-through water charges. </w:t>
      </w:r>
      <w:r w:rsidR="007936B4">
        <w:rPr>
          <w:rFonts w:ascii="Times New Roman" w:eastAsia="Times New Roman" w:hAnsi="Times New Roman" w:cs="Times New Roman"/>
          <w:sz w:val="24"/>
          <w:szCs w:val="24"/>
        </w:rPr>
        <w:t xml:space="preserve">Mr. Hawkins </w:t>
      </w:r>
      <w:r w:rsidRPr="00A95AA6">
        <w:rPr>
          <w:rFonts w:ascii="Times New Roman" w:eastAsia="Times New Roman" w:hAnsi="Times New Roman" w:cs="Times New Roman"/>
          <w:sz w:val="24"/>
          <w:szCs w:val="24"/>
        </w:rPr>
        <w:t xml:space="preserve">filed the formal complaint pursuant to 16 Texas Administrative Code (TAC) § 22.242. On August 6, 2019, </w:t>
      </w:r>
      <w:r w:rsidR="007936B4">
        <w:rPr>
          <w:rFonts w:ascii="Times New Roman" w:eastAsia="Times New Roman" w:hAnsi="Times New Roman" w:cs="Times New Roman"/>
          <w:sz w:val="24"/>
          <w:szCs w:val="24"/>
        </w:rPr>
        <w:t xml:space="preserve">Monarch </w:t>
      </w:r>
      <w:r w:rsidRPr="00A95AA6">
        <w:rPr>
          <w:rFonts w:ascii="Times New Roman" w:eastAsia="Times New Roman" w:hAnsi="Times New Roman" w:cs="Times New Roman"/>
          <w:sz w:val="24"/>
          <w:szCs w:val="24"/>
        </w:rPr>
        <w:t>filed its response to the complaint.</w:t>
      </w:r>
    </w:p>
    <w:p w14:paraId="04269695" w14:textId="7BB2C426" w:rsidR="00535737" w:rsidRPr="00A95AA6" w:rsidRDefault="0001256F" w:rsidP="00A46429">
      <w:pPr>
        <w:spacing w:after="0" w:line="360" w:lineRule="auto"/>
        <w:ind w:firstLine="720"/>
        <w:jc w:val="both"/>
        <w:rPr>
          <w:rFonts w:ascii="Times New Roman" w:eastAsia="Times New Roman" w:hAnsi="Times New Roman" w:cs="Times New Roman"/>
          <w:sz w:val="24"/>
          <w:szCs w:val="24"/>
        </w:rPr>
      </w:pPr>
      <w:r w:rsidRPr="00A95AA6">
        <w:rPr>
          <w:rFonts w:ascii="Times New Roman" w:eastAsia="Times New Roman" w:hAnsi="Times New Roman" w:cs="Times New Roman"/>
          <w:sz w:val="24"/>
          <w:szCs w:val="24"/>
        </w:rPr>
        <w:t xml:space="preserve">On </w:t>
      </w:r>
      <w:r w:rsidR="00A46429" w:rsidRPr="00A95AA6">
        <w:rPr>
          <w:rFonts w:ascii="Times New Roman" w:eastAsia="Times New Roman" w:hAnsi="Times New Roman" w:cs="Times New Roman"/>
          <w:sz w:val="24"/>
          <w:szCs w:val="24"/>
        </w:rPr>
        <w:t>March 12</w:t>
      </w:r>
      <w:r w:rsidRPr="00A95AA6">
        <w:rPr>
          <w:rFonts w:ascii="Times New Roman" w:eastAsia="Times New Roman" w:hAnsi="Times New Roman" w:cs="Times New Roman"/>
          <w:sz w:val="24"/>
          <w:szCs w:val="24"/>
        </w:rPr>
        <w:t>, 20</w:t>
      </w:r>
      <w:r w:rsidR="00A46429" w:rsidRPr="00A95AA6">
        <w:rPr>
          <w:rFonts w:ascii="Times New Roman" w:eastAsia="Times New Roman" w:hAnsi="Times New Roman" w:cs="Times New Roman"/>
          <w:sz w:val="24"/>
          <w:szCs w:val="24"/>
        </w:rPr>
        <w:t>20</w:t>
      </w:r>
      <w:r w:rsidRPr="00A95AA6">
        <w:rPr>
          <w:rFonts w:ascii="Times New Roman" w:eastAsia="Times New Roman" w:hAnsi="Times New Roman" w:cs="Times New Roman"/>
          <w:sz w:val="24"/>
          <w:szCs w:val="24"/>
        </w:rPr>
        <w:t xml:space="preserve">, a Briefing Order was issued, </w:t>
      </w:r>
      <w:r w:rsidR="00A46429" w:rsidRPr="00A95AA6">
        <w:rPr>
          <w:rFonts w:ascii="Times New Roman" w:eastAsia="Times New Roman" w:hAnsi="Times New Roman" w:cs="Times New Roman"/>
          <w:sz w:val="24"/>
          <w:szCs w:val="24"/>
        </w:rPr>
        <w:t>requiring</w:t>
      </w:r>
      <w:r w:rsidRPr="00A95AA6">
        <w:rPr>
          <w:rFonts w:ascii="Times New Roman" w:eastAsia="Times New Roman" w:hAnsi="Times New Roman" w:cs="Times New Roman"/>
          <w:sz w:val="24"/>
          <w:szCs w:val="24"/>
        </w:rPr>
        <w:t xml:space="preserve"> any interested party to file a brief addressing </w:t>
      </w:r>
      <w:r w:rsidR="00A46429" w:rsidRPr="00A95AA6">
        <w:rPr>
          <w:rFonts w:ascii="Times New Roman" w:eastAsia="Times New Roman" w:hAnsi="Times New Roman" w:cs="Times New Roman"/>
          <w:sz w:val="24"/>
          <w:szCs w:val="24"/>
        </w:rPr>
        <w:t>certain</w:t>
      </w:r>
      <w:r w:rsidRPr="00A95AA6">
        <w:rPr>
          <w:rFonts w:ascii="Times New Roman" w:eastAsia="Times New Roman" w:hAnsi="Times New Roman" w:cs="Times New Roman"/>
          <w:sz w:val="24"/>
          <w:szCs w:val="24"/>
        </w:rPr>
        <w:t xml:space="preserve"> issues </w:t>
      </w:r>
      <w:r w:rsidR="005B5A3C">
        <w:rPr>
          <w:rFonts w:ascii="Times New Roman" w:eastAsia="Times New Roman" w:hAnsi="Times New Roman" w:cs="Times New Roman"/>
          <w:sz w:val="24"/>
          <w:szCs w:val="24"/>
        </w:rPr>
        <w:t xml:space="preserve">identified by the </w:t>
      </w:r>
      <w:proofErr w:type="gramStart"/>
      <w:r w:rsidR="005B5A3C">
        <w:rPr>
          <w:rFonts w:ascii="Times New Roman" w:eastAsia="Times New Roman" w:hAnsi="Times New Roman" w:cs="Times New Roman"/>
          <w:sz w:val="24"/>
          <w:szCs w:val="24"/>
        </w:rPr>
        <w:t xml:space="preserve">Commission </w:t>
      </w:r>
      <w:r w:rsidRPr="00A95AA6">
        <w:rPr>
          <w:rFonts w:ascii="Times New Roman" w:eastAsia="Times New Roman" w:hAnsi="Times New Roman" w:cs="Times New Roman"/>
          <w:sz w:val="24"/>
          <w:szCs w:val="24"/>
        </w:rPr>
        <w:t xml:space="preserve"> by</w:t>
      </w:r>
      <w:proofErr w:type="gramEnd"/>
      <w:r w:rsidRPr="00A95AA6">
        <w:rPr>
          <w:rFonts w:ascii="Times New Roman" w:eastAsia="Times New Roman" w:hAnsi="Times New Roman" w:cs="Times New Roman"/>
          <w:sz w:val="24"/>
          <w:szCs w:val="24"/>
        </w:rPr>
        <w:t xml:space="preserve"> </w:t>
      </w:r>
      <w:r w:rsidR="00A46429" w:rsidRPr="00A95AA6">
        <w:rPr>
          <w:rFonts w:ascii="Times New Roman" w:eastAsia="Times New Roman" w:hAnsi="Times New Roman" w:cs="Times New Roman"/>
          <w:sz w:val="24"/>
          <w:szCs w:val="24"/>
        </w:rPr>
        <w:t>March</w:t>
      </w:r>
      <w:r w:rsidRPr="00A95AA6">
        <w:rPr>
          <w:rFonts w:ascii="Times New Roman" w:eastAsia="Times New Roman" w:hAnsi="Times New Roman" w:cs="Times New Roman"/>
          <w:sz w:val="24"/>
          <w:szCs w:val="24"/>
        </w:rPr>
        <w:t xml:space="preserve"> 2</w:t>
      </w:r>
      <w:r w:rsidR="00A46429" w:rsidRPr="00A95AA6">
        <w:rPr>
          <w:rFonts w:ascii="Times New Roman" w:eastAsia="Times New Roman" w:hAnsi="Times New Roman" w:cs="Times New Roman"/>
          <w:sz w:val="24"/>
          <w:szCs w:val="24"/>
        </w:rPr>
        <w:t>6</w:t>
      </w:r>
      <w:r w:rsidRPr="00A95AA6">
        <w:rPr>
          <w:rFonts w:ascii="Times New Roman" w:eastAsia="Times New Roman" w:hAnsi="Times New Roman" w:cs="Times New Roman"/>
          <w:sz w:val="24"/>
          <w:szCs w:val="24"/>
        </w:rPr>
        <w:t>, 20</w:t>
      </w:r>
      <w:r w:rsidR="00A46429" w:rsidRPr="00A95AA6">
        <w:rPr>
          <w:rFonts w:ascii="Times New Roman" w:eastAsia="Times New Roman" w:hAnsi="Times New Roman" w:cs="Times New Roman"/>
          <w:sz w:val="24"/>
          <w:szCs w:val="24"/>
        </w:rPr>
        <w:t>20</w:t>
      </w:r>
      <w:r w:rsidRPr="00A95AA6">
        <w:rPr>
          <w:rFonts w:ascii="Times New Roman" w:eastAsia="Times New Roman" w:hAnsi="Times New Roman" w:cs="Times New Roman"/>
          <w:sz w:val="24"/>
          <w:szCs w:val="24"/>
        </w:rPr>
        <w:t>. This brief is therefore timely filed.</w:t>
      </w:r>
    </w:p>
    <w:p w14:paraId="576B80E2" w14:textId="3DE932C6" w:rsidR="0001256F" w:rsidRDefault="00A95AA6" w:rsidP="008D5DA1">
      <w:pPr>
        <w:pStyle w:val="Heading1"/>
      </w:pPr>
      <w:r w:rsidRPr="00A95AA6">
        <w:t>DISCUSSION</w:t>
      </w:r>
    </w:p>
    <w:p w14:paraId="364D9B3D" w14:textId="20DB4E65" w:rsidR="00A06C8E" w:rsidRDefault="00A06C8E" w:rsidP="00A06C8E">
      <w:pPr>
        <w:spacing w:after="0" w:line="360" w:lineRule="auto"/>
        <w:jc w:val="both"/>
        <w:rPr>
          <w:rFonts w:ascii="Times New Roman" w:hAnsi="Times New Roman" w:cs="Times New Roman"/>
          <w:sz w:val="24"/>
          <w:szCs w:val="24"/>
        </w:rPr>
      </w:pPr>
      <w:r>
        <w:tab/>
      </w:r>
      <w:r>
        <w:rPr>
          <w:rFonts w:ascii="Times New Roman" w:hAnsi="Times New Roman" w:cs="Times New Roman"/>
          <w:sz w:val="24"/>
          <w:szCs w:val="24"/>
        </w:rPr>
        <w:t xml:space="preserve">On February 20, 2019, Monarch filed an application seeking approval to implement a new </w:t>
      </w:r>
      <w:r w:rsidR="007936B4">
        <w:rPr>
          <w:rFonts w:ascii="Times New Roman" w:hAnsi="Times New Roman" w:cs="Times New Roman"/>
          <w:sz w:val="24"/>
          <w:szCs w:val="24"/>
        </w:rPr>
        <w:t xml:space="preserve">combined </w:t>
      </w:r>
      <w:r>
        <w:rPr>
          <w:rFonts w:ascii="Times New Roman" w:hAnsi="Times New Roman" w:cs="Times New Roman"/>
          <w:sz w:val="24"/>
          <w:szCs w:val="24"/>
        </w:rPr>
        <w:t>pass-through</w:t>
      </w:r>
      <w:r w:rsidR="007936B4">
        <w:rPr>
          <w:rFonts w:ascii="Times New Roman" w:hAnsi="Times New Roman" w:cs="Times New Roman"/>
          <w:sz w:val="24"/>
          <w:szCs w:val="24"/>
        </w:rPr>
        <w:t xml:space="preserve"> </w:t>
      </w:r>
      <w:r>
        <w:rPr>
          <w:rFonts w:ascii="Times New Roman" w:hAnsi="Times New Roman" w:cs="Times New Roman"/>
          <w:sz w:val="24"/>
          <w:szCs w:val="24"/>
        </w:rPr>
        <w:t xml:space="preserve">rate with a proposed effective date of </w:t>
      </w:r>
      <w:r w:rsidR="007936B4">
        <w:rPr>
          <w:rFonts w:ascii="Times New Roman" w:hAnsi="Times New Roman" w:cs="Times New Roman"/>
          <w:sz w:val="24"/>
          <w:szCs w:val="24"/>
        </w:rPr>
        <w:t xml:space="preserve"> </w:t>
      </w:r>
      <w:r>
        <w:rPr>
          <w:rFonts w:ascii="Times New Roman" w:hAnsi="Times New Roman" w:cs="Times New Roman"/>
          <w:sz w:val="24"/>
          <w:szCs w:val="24"/>
        </w:rPr>
        <w:t>March 1, 2019.</w:t>
      </w:r>
      <w:r>
        <w:rPr>
          <w:rStyle w:val="FootnoteReference"/>
          <w:rFonts w:ascii="Times New Roman" w:hAnsi="Times New Roman" w:cs="Times New Roman"/>
          <w:szCs w:val="24"/>
        </w:rPr>
        <w:footnoteReference w:id="1"/>
      </w:r>
      <w:r>
        <w:rPr>
          <w:rFonts w:ascii="Times New Roman" w:hAnsi="Times New Roman" w:cs="Times New Roman"/>
          <w:sz w:val="24"/>
          <w:szCs w:val="24"/>
        </w:rPr>
        <w:t xml:space="preserve"> </w:t>
      </w:r>
      <w:r w:rsidR="007936B4">
        <w:rPr>
          <w:rFonts w:ascii="Times New Roman" w:hAnsi="Times New Roman" w:cs="Times New Roman"/>
          <w:sz w:val="24"/>
          <w:szCs w:val="24"/>
        </w:rPr>
        <w:t>Mr. Hawkins’ complaint raises the issue of whether Monarch was permitted to begin charging the combined pass-through rate before receiving final Commission approval of this new rate.</w:t>
      </w:r>
      <w:r w:rsidR="002E068E">
        <w:rPr>
          <w:rStyle w:val="FootnoteReference"/>
          <w:rFonts w:ascii="Times New Roman" w:hAnsi="Times New Roman" w:cs="Times New Roman"/>
          <w:szCs w:val="24"/>
        </w:rPr>
        <w:footnoteReference w:id="2"/>
      </w:r>
      <w:r w:rsidR="007936B4">
        <w:rPr>
          <w:rFonts w:ascii="Times New Roman" w:hAnsi="Times New Roman" w:cs="Times New Roman"/>
          <w:sz w:val="24"/>
          <w:szCs w:val="24"/>
        </w:rPr>
        <w:t xml:space="preserve"> </w:t>
      </w:r>
      <w:r>
        <w:rPr>
          <w:rFonts w:ascii="Times New Roman" w:hAnsi="Times New Roman" w:cs="Times New Roman"/>
          <w:sz w:val="24"/>
          <w:szCs w:val="24"/>
        </w:rPr>
        <w:t>At the open meeting on March 12, 2020, the Commission considered a memorandum issued by Chairman Deann Walk</w:t>
      </w:r>
      <w:r w:rsidR="002E068E">
        <w:rPr>
          <w:rFonts w:ascii="Times New Roman" w:hAnsi="Times New Roman" w:cs="Times New Roman"/>
          <w:sz w:val="24"/>
          <w:szCs w:val="24"/>
        </w:rPr>
        <w:t>er.</w:t>
      </w:r>
      <w:r w:rsidR="00CC02B8">
        <w:rPr>
          <w:rStyle w:val="FootnoteReference"/>
          <w:rFonts w:ascii="Times New Roman" w:hAnsi="Times New Roman" w:cs="Times New Roman"/>
          <w:szCs w:val="24"/>
        </w:rPr>
        <w:footnoteReference w:id="3"/>
      </w:r>
      <w:r w:rsidR="002E068E">
        <w:rPr>
          <w:rFonts w:ascii="Times New Roman" w:hAnsi="Times New Roman" w:cs="Times New Roman"/>
          <w:sz w:val="24"/>
          <w:szCs w:val="24"/>
        </w:rPr>
        <w:t xml:space="preserve">  At the direction of  the Commission, the Office of Policy and Docket Management issued a briefing order posing the following questions:</w:t>
      </w:r>
    </w:p>
    <w:p w14:paraId="185B4F3D" w14:textId="77777777" w:rsidR="00626C2D" w:rsidRPr="00A06C8E" w:rsidRDefault="00626C2D" w:rsidP="00A06C8E">
      <w:pPr>
        <w:spacing w:after="0" w:line="360" w:lineRule="auto"/>
        <w:jc w:val="both"/>
        <w:rPr>
          <w:rFonts w:ascii="Times New Roman" w:hAnsi="Times New Roman" w:cs="Times New Roman"/>
          <w:sz w:val="24"/>
          <w:szCs w:val="24"/>
        </w:rPr>
      </w:pPr>
    </w:p>
    <w:p w14:paraId="6595D5B2" w14:textId="231E5E34" w:rsidR="00A46429" w:rsidRPr="00A95AA6" w:rsidRDefault="00A46429" w:rsidP="002E068E">
      <w:pPr>
        <w:pStyle w:val="ListParagraph"/>
        <w:numPr>
          <w:ilvl w:val="0"/>
          <w:numId w:val="3"/>
        </w:numPr>
        <w:spacing w:after="0" w:line="240" w:lineRule="auto"/>
        <w:ind w:left="1080" w:right="720"/>
        <w:jc w:val="both"/>
        <w:rPr>
          <w:rFonts w:ascii="Times New Roman" w:eastAsia="Times New Roman" w:hAnsi="Times New Roman" w:cs="Times New Roman"/>
          <w:b/>
          <w:sz w:val="24"/>
          <w:szCs w:val="24"/>
        </w:rPr>
      </w:pPr>
      <w:r w:rsidRPr="00A95AA6">
        <w:rPr>
          <w:rFonts w:ascii="Times New Roman" w:eastAsia="Times New Roman" w:hAnsi="Times New Roman" w:cs="Times New Roman"/>
          <w:b/>
          <w:sz w:val="24"/>
          <w:szCs w:val="24"/>
        </w:rPr>
        <w:lastRenderedPageBreak/>
        <w:t xml:space="preserve">Does the following language in Monarch's current tariff constitute Commission authorization for an effective date of a pass-through charge other than the date of approval of that charge by the Commission under 16 TAC § </w:t>
      </w:r>
      <w:proofErr w:type="gramStart"/>
      <w:r w:rsidRPr="00A95AA6">
        <w:rPr>
          <w:rFonts w:ascii="Times New Roman" w:eastAsia="Times New Roman" w:hAnsi="Times New Roman" w:cs="Times New Roman"/>
          <w:b/>
          <w:sz w:val="24"/>
          <w:szCs w:val="24"/>
        </w:rPr>
        <w:t>24.25(h):</w:t>
      </w:r>
      <w:proofErr w:type="gramEnd"/>
      <w:r w:rsidR="00902521" w:rsidRPr="00A95AA6">
        <w:rPr>
          <w:rStyle w:val="FootnoteReference"/>
          <w:rFonts w:ascii="Times New Roman" w:eastAsia="Times New Roman" w:hAnsi="Times New Roman" w:cs="Times New Roman"/>
          <w:b/>
          <w:szCs w:val="24"/>
        </w:rPr>
        <w:footnoteReference w:id="4"/>
      </w:r>
    </w:p>
    <w:p w14:paraId="14F4D19C" w14:textId="0D0DB695" w:rsidR="00A46429" w:rsidRPr="00A95AA6" w:rsidRDefault="00A46429" w:rsidP="00A46429">
      <w:pPr>
        <w:spacing w:after="0" w:line="240" w:lineRule="auto"/>
        <w:ind w:left="360"/>
        <w:jc w:val="both"/>
        <w:rPr>
          <w:rFonts w:ascii="Times New Roman" w:eastAsia="Times New Roman" w:hAnsi="Times New Roman" w:cs="Times New Roman"/>
          <w:b/>
          <w:sz w:val="24"/>
          <w:szCs w:val="24"/>
        </w:rPr>
      </w:pPr>
    </w:p>
    <w:p w14:paraId="0B8F24A7" w14:textId="18043047" w:rsidR="00A46429" w:rsidRPr="00A95AA6" w:rsidRDefault="00A46429" w:rsidP="002E068E">
      <w:pPr>
        <w:spacing w:after="0" w:line="240" w:lineRule="auto"/>
        <w:ind w:left="1440" w:right="1440"/>
        <w:jc w:val="both"/>
        <w:rPr>
          <w:rFonts w:ascii="Times New Roman" w:eastAsia="Times New Roman" w:hAnsi="Times New Roman" w:cs="Times New Roman"/>
          <w:b/>
          <w:sz w:val="24"/>
          <w:szCs w:val="24"/>
        </w:rPr>
      </w:pPr>
      <w:r w:rsidRPr="00A95AA6">
        <w:rPr>
          <w:rFonts w:ascii="Times New Roman" w:eastAsia="Times New Roman" w:hAnsi="Times New Roman" w:cs="Times New Roman"/>
          <w:b/>
          <w:sz w:val="24"/>
          <w:szCs w:val="24"/>
        </w:rPr>
        <w:t>To implement, all notice requirements must be met. The utility may begin to charge the new filed WPC on the proposed effective date in the notice. Implementation of this WPC adjustment provision shall be governed by 16 TAC § 24.21(h)</w:t>
      </w:r>
    </w:p>
    <w:p w14:paraId="73BCC086" w14:textId="77777777" w:rsidR="00A46429" w:rsidRPr="00A95AA6" w:rsidRDefault="00A46429" w:rsidP="00A46429">
      <w:pPr>
        <w:spacing w:after="0" w:line="240" w:lineRule="auto"/>
        <w:ind w:left="1350"/>
        <w:jc w:val="both"/>
        <w:rPr>
          <w:rFonts w:ascii="Times New Roman" w:eastAsia="Times New Roman" w:hAnsi="Times New Roman" w:cs="Times New Roman"/>
          <w:b/>
          <w:sz w:val="24"/>
          <w:szCs w:val="24"/>
        </w:rPr>
      </w:pPr>
    </w:p>
    <w:p w14:paraId="4752C5AE" w14:textId="2B7F489A" w:rsidR="00A46429" w:rsidRPr="00A95AA6" w:rsidRDefault="00A46429" w:rsidP="002E068E">
      <w:pPr>
        <w:spacing w:after="0" w:line="240" w:lineRule="auto"/>
        <w:ind w:left="720" w:right="720"/>
        <w:jc w:val="both"/>
        <w:rPr>
          <w:rFonts w:ascii="Times New Roman" w:eastAsia="Times New Roman" w:hAnsi="Times New Roman" w:cs="Times New Roman"/>
          <w:b/>
          <w:sz w:val="24"/>
          <w:szCs w:val="24"/>
        </w:rPr>
      </w:pPr>
      <w:r w:rsidRPr="00A95AA6">
        <w:rPr>
          <w:rFonts w:ascii="Times New Roman" w:eastAsia="Times New Roman" w:hAnsi="Times New Roman" w:cs="Times New Roman"/>
          <w:b/>
          <w:sz w:val="24"/>
          <w:szCs w:val="24"/>
        </w:rPr>
        <w:t>In answering this issue, please address whether the Commission order approving Monarch's tariff is the type of order referenced in 16 TAC § 24.25(h)</w:t>
      </w:r>
      <w:r w:rsidR="002E068E">
        <w:rPr>
          <w:rFonts w:ascii="Times New Roman" w:eastAsia="Times New Roman" w:hAnsi="Times New Roman" w:cs="Times New Roman"/>
          <w:b/>
          <w:sz w:val="24"/>
          <w:szCs w:val="24"/>
        </w:rPr>
        <w:t>.</w:t>
      </w:r>
    </w:p>
    <w:p w14:paraId="6D34D375" w14:textId="77777777" w:rsidR="00E55D87" w:rsidRPr="00A95AA6" w:rsidRDefault="00E55D87" w:rsidP="00E55D87">
      <w:pPr>
        <w:spacing w:after="0" w:line="240" w:lineRule="auto"/>
        <w:rPr>
          <w:rFonts w:ascii="Times New Roman" w:eastAsia="Times New Roman" w:hAnsi="Times New Roman" w:cs="Times New Roman"/>
          <w:b/>
          <w:sz w:val="24"/>
          <w:szCs w:val="24"/>
        </w:rPr>
      </w:pPr>
    </w:p>
    <w:p w14:paraId="6B66C9D4" w14:textId="5697892A" w:rsidR="001507B0" w:rsidRPr="002B2E47" w:rsidRDefault="00920C48" w:rsidP="002B2E47">
      <w:pPr>
        <w:pStyle w:val="ListParagraph"/>
        <w:numPr>
          <w:ilvl w:val="0"/>
          <w:numId w:val="5"/>
        </w:numPr>
        <w:spacing w:after="0" w:line="360" w:lineRule="auto"/>
        <w:jc w:val="both"/>
        <w:rPr>
          <w:rFonts w:ascii="Times New Roman" w:eastAsia="Times New Roman" w:hAnsi="Times New Roman" w:cs="Times New Roman"/>
          <w:b/>
          <w:bCs/>
          <w:sz w:val="24"/>
          <w:szCs w:val="24"/>
        </w:rPr>
      </w:pPr>
      <w:r w:rsidRPr="002B2E47">
        <w:rPr>
          <w:rFonts w:ascii="Times New Roman" w:eastAsia="Times New Roman" w:hAnsi="Times New Roman" w:cs="Times New Roman"/>
          <w:b/>
          <w:bCs/>
          <w:sz w:val="24"/>
          <w:szCs w:val="24"/>
        </w:rPr>
        <w:t>History of 16 TAC § 24.25(h).</w:t>
      </w:r>
    </w:p>
    <w:p w14:paraId="6D6213E4" w14:textId="364FA1A3" w:rsidR="00465EEE" w:rsidRDefault="00920C48" w:rsidP="009A1EF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evolution of the current version of 16 TAC </w:t>
      </w:r>
      <w:r w:rsidRPr="00A95AA6">
        <w:rPr>
          <w:rFonts w:ascii="Times New Roman" w:eastAsia="Times New Roman" w:hAnsi="Times New Roman" w:cs="Times New Roman"/>
          <w:sz w:val="24"/>
          <w:szCs w:val="24"/>
        </w:rPr>
        <w:t>§ 24.25(h)</w:t>
      </w:r>
      <w:r>
        <w:rPr>
          <w:rFonts w:ascii="Times New Roman" w:eastAsia="Times New Roman" w:hAnsi="Times New Roman" w:cs="Times New Roman"/>
          <w:sz w:val="24"/>
          <w:szCs w:val="24"/>
        </w:rPr>
        <w:t xml:space="preserve"> could </w:t>
      </w:r>
      <w:r w:rsidR="009A18E3">
        <w:rPr>
          <w:rFonts w:ascii="Times New Roman" w:eastAsia="Times New Roman" w:hAnsi="Times New Roman" w:cs="Times New Roman"/>
          <w:sz w:val="24"/>
          <w:szCs w:val="24"/>
        </w:rPr>
        <w:t xml:space="preserve">help </w:t>
      </w:r>
      <w:r>
        <w:rPr>
          <w:rFonts w:ascii="Times New Roman" w:eastAsia="Times New Roman" w:hAnsi="Times New Roman" w:cs="Times New Roman"/>
          <w:sz w:val="24"/>
          <w:szCs w:val="24"/>
        </w:rPr>
        <w:t>inform the answer to the questions posed in the Briefing Order depending on when the quoted provision in Monarch’s tariff was added</w:t>
      </w:r>
      <w:r w:rsidRPr="00A95AA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Chapter 24 of the Commission’s rules was renumbered effective October 17, 2018.  Prior to that, 16 TAC </w:t>
      </w:r>
      <w:r w:rsidRPr="00A95AA6">
        <w:rPr>
          <w:rFonts w:ascii="Times New Roman" w:eastAsia="Times New Roman" w:hAnsi="Times New Roman" w:cs="Times New Roman"/>
          <w:sz w:val="24"/>
          <w:szCs w:val="24"/>
        </w:rPr>
        <w:t>§ 24.2</w:t>
      </w:r>
      <w:r>
        <w:rPr>
          <w:rFonts w:ascii="Times New Roman" w:eastAsia="Times New Roman" w:hAnsi="Times New Roman" w:cs="Times New Roman"/>
          <w:sz w:val="24"/>
          <w:szCs w:val="24"/>
        </w:rPr>
        <w:t>5</w:t>
      </w:r>
      <w:r w:rsidRPr="00A95AA6">
        <w:rPr>
          <w:rFonts w:ascii="Times New Roman" w:eastAsia="Times New Roman" w:hAnsi="Times New Roman" w:cs="Times New Roman"/>
          <w:sz w:val="24"/>
          <w:szCs w:val="24"/>
        </w:rPr>
        <w:t>(h)</w:t>
      </w:r>
      <w:r>
        <w:rPr>
          <w:rFonts w:ascii="Times New Roman" w:eastAsia="Times New Roman" w:hAnsi="Times New Roman" w:cs="Times New Roman"/>
          <w:sz w:val="24"/>
          <w:szCs w:val="24"/>
        </w:rPr>
        <w:t xml:space="preserve"> was 16 TAC </w:t>
      </w:r>
      <w:r w:rsidRPr="00A95AA6">
        <w:rPr>
          <w:rFonts w:ascii="Times New Roman" w:eastAsia="Times New Roman" w:hAnsi="Times New Roman" w:cs="Times New Roman"/>
          <w:sz w:val="24"/>
          <w:szCs w:val="24"/>
        </w:rPr>
        <w:t>§ 24.2</w:t>
      </w:r>
      <w:r>
        <w:rPr>
          <w:rFonts w:ascii="Times New Roman" w:eastAsia="Times New Roman" w:hAnsi="Times New Roman" w:cs="Times New Roman"/>
          <w:sz w:val="24"/>
          <w:szCs w:val="24"/>
        </w:rPr>
        <w:t>1</w:t>
      </w:r>
      <w:r w:rsidRPr="00A95AA6">
        <w:rPr>
          <w:rFonts w:ascii="Times New Roman" w:eastAsia="Times New Roman" w:hAnsi="Times New Roman" w:cs="Times New Roman"/>
          <w:sz w:val="24"/>
          <w:szCs w:val="24"/>
        </w:rPr>
        <w:t>(h)</w:t>
      </w:r>
      <w:r>
        <w:rPr>
          <w:rFonts w:ascii="Times New Roman" w:eastAsia="Times New Roman" w:hAnsi="Times New Roman" w:cs="Times New Roman"/>
          <w:sz w:val="24"/>
          <w:szCs w:val="24"/>
        </w:rPr>
        <w:t>.</w:t>
      </w:r>
      <w:r w:rsidR="002B2E47">
        <w:rPr>
          <w:rFonts w:ascii="Times New Roman" w:eastAsia="Times New Roman" w:hAnsi="Times New Roman" w:cs="Times New Roman"/>
          <w:sz w:val="24"/>
          <w:szCs w:val="24"/>
        </w:rPr>
        <w:t xml:space="preserve"> </w:t>
      </w:r>
      <w:r w:rsidR="009A1EF6">
        <w:rPr>
          <w:rFonts w:ascii="Times New Roman" w:eastAsia="Times New Roman" w:hAnsi="Times New Roman" w:cs="Times New Roman"/>
          <w:sz w:val="24"/>
          <w:szCs w:val="24"/>
        </w:rPr>
        <w:t xml:space="preserve">As recently as 2015, 16 TAC </w:t>
      </w:r>
      <w:r w:rsidR="009A1EF6" w:rsidRPr="00A95AA6">
        <w:rPr>
          <w:rFonts w:ascii="Times New Roman" w:eastAsia="Times New Roman" w:hAnsi="Times New Roman" w:cs="Times New Roman"/>
          <w:sz w:val="24"/>
          <w:szCs w:val="24"/>
        </w:rPr>
        <w:t>§ 24.2</w:t>
      </w:r>
      <w:r w:rsidR="009A1EF6">
        <w:rPr>
          <w:rFonts w:ascii="Times New Roman" w:eastAsia="Times New Roman" w:hAnsi="Times New Roman" w:cs="Times New Roman"/>
          <w:sz w:val="24"/>
          <w:szCs w:val="24"/>
        </w:rPr>
        <w:t>1</w:t>
      </w:r>
      <w:r w:rsidR="009A1EF6" w:rsidRPr="00A95AA6">
        <w:rPr>
          <w:rFonts w:ascii="Times New Roman" w:eastAsia="Times New Roman" w:hAnsi="Times New Roman" w:cs="Times New Roman"/>
          <w:sz w:val="24"/>
          <w:szCs w:val="24"/>
        </w:rPr>
        <w:t>(h)</w:t>
      </w:r>
      <w:r w:rsidR="009A1EF6">
        <w:rPr>
          <w:rFonts w:ascii="Times New Roman" w:eastAsia="Times New Roman" w:hAnsi="Times New Roman" w:cs="Times New Roman"/>
          <w:sz w:val="24"/>
          <w:szCs w:val="24"/>
        </w:rPr>
        <w:t xml:space="preserve"> authorized “a utility</w:t>
      </w:r>
      <w:r w:rsidR="009A1EF6" w:rsidRPr="009A1EF6">
        <w:rPr>
          <w:rFonts w:ascii="Times New Roman" w:eastAsia="Times New Roman" w:hAnsi="Times New Roman" w:cs="Times New Roman"/>
          <w:sz w:val="24"/>
          <w:szCs w:val="24"/>
        </w:rPr>
        <w:t xml:space="preserve"> that purchase</w:t>
      </w:r>
      <w:r w:rsidR="009A1EF6">
        <w:rPr>
          <w:rFonts w:ascii="Times New Roman" w:eastAsia="Times New Roman" w:hAnsi="Times New Roman" w:cs="Times New Roman"/>
          <w:sz w:val="24"/>
          <w:szCs w:val="24"/>
        </w:rPr>
        <w:t xml:space="preserve">d </w:t>
      </w:r>
      <w:r w:rsidR="009A1EF6" w:rsidRPr="009A1EF6">
        <w:rPr>
          <w:rFonts w:ascii="Times New Roman" w:eastAsia="Times New Roman" w:hAnsi="Times New Roman" w:cs="Times New Roman"/>
          <w:sz w:val="24"/>
          <w:szCs w:val="24"/>
        </w:rPr>
        <w:t xml:space="preserve">water or sewage treatment </w:t>
      </w:r>
      <w:r w:rsidR="009A1EF6">
        <w:rPr>
          <w:rFonts w:ascii="Times New Roman" w:eastAsia="Times New Roman" w:hAnsi="Times New Roman" w:cs="Times New Roman"/>
          <w:sz w:val="24"/>
          <w:szCs w:val="24"/>
        </w:rPr>
        <w:t>to include a</w:t>
      </w:r>
      <w:r w:rsidR="009A1EF6" w:rsidRPr="009A1EF6">
        <w:rPr>
          <w:rFonts w:ascii="Times New Roman" w:eastAsia="Times New Roman" w:hAnsi="Times New Roman" w:cs="Times New Roman"/>
          <w:sz w:val="24"/>
          <w:szCs w:val="24"/>
        </w:rPr>
        <w:t xml:space="preserve"> provision in its</w:t>
      </w:r>
      <w:r w:rsidR="009A1EF6">
        <w:rPr>
          <w:rFonts w:ascii="Times New Roman" w:eastAsia="Times New Roman" w:hAnsi="Times New Roman" w:cs="Times New Roman"/>
          <w:sz w:val="24"/>
          <w:szCs w:val="24"/>
        </w:rPr>
        <w:t xml:space="preserve"> </w:t>
      </w:r>
      <w:r w:rsidR="009A1EF6" w:rsidRPr="009A1EF6">
        <w:rPr>
          <w:rFonts w:ascii="Times New Roman" w:eastAsia="Times New Roman" w:hAnsi="Times New Roman" w:cs="Times New Roman"/>
          <w:sz w:val="24"/>
          <w:szCs w:val="24"/>
        </w:rPr>
        <w:t>tariff to pass through to its customers changes in such costs</w:t>
      </w:r>
      <w:r w:rsidR="009A1EF6">
        <w:rPr>
          <w:rFonts w:ascii="Times New Roman" w:eastAsia="Times New Roman" w:hAnsi="Times New Roman" w:cs="Times New Roman"/>
          <w:sz w:val="24"/>
          <w:szCs w:val="24"/>
        </w:rPr>
        <w:t>,” and enumerated procedures to be used to include a pass-through provision in a tariff.</w:t>
      </w:r>
      <w:r w:rsidR="009A1EF6">
        <w:rPr>
          <w:rStyle w:val="FootnoteReference"/>
          <w:rFonts w:ascii="Times New Roman" w:eastAsia="Times New Roman" w:hAnsi="Times New Roman" w:cs="Times New Roman"/>
          <w:szCs w:val="24"/>
        </w:rPr>
        <w:footnoteReference w:id="5"/>
      </w:r>
      <w:r w:rsidR="00B26F99">
        <w:rPr>
          <w:rFonts w:ascii="Times New Roman" w:eastAsia="Times New Roman" w:hAnsi="Times New Roman" w:cs="Times New Roman"/>
          <w:sz w:val="24"/>
          <w:szCs w:val="24"/>
        </w:rPr>
        <w:t xml:space="preserve">  However, the 2015 version of the rule specifically stated that a pass-through provision or a proposed change in the calculation of the pass-through rate must be approved in a rate proceeding.</w:t>
      </w:r>
      <w:r w:rsidR="00B26F99">
        <w:rPr>
          <w:rStyle w:val="FootnoteReference"/>
          <w:rFonts w:ascii="Times New Roman" w:eastAsia="Times New Roman" w:hAnsi="Times New Roman" w:cs="Times New Roman"/>
          <w:szCs w:val="24"/>
        </w:rPr>
        <w:footnoteReference w:id="6"/>
      </w:r>
      <w:r w:rsidR="00B26F99">
        <w:rPr>
          <w:rFonts w:ascii="Times New Roman" w:eastAsia="Times New Roman" w:hAnsi="Times New Roman" w:cs="Times New Roman"/>
          <w:sz w:val="24"/>
          <w:szCs w:val="24"/>
        </w:rPr>
        <w:t xml:space="preserve">  Once the pass-through revision was approved, a revision to the rate was eligible for administrative approval outside of a base rate proceeding.</w:t>
      </w:r>
      <w:r w:rsidR="00CA11A0">
        <w:rPr>
          <w:rStyle w:val="FootnoteReference"/>
          <w:rFonts w:ascii="Times New Roman" w:eastAsia="Times New Roman" w:hAnsi="Times New Roman" w:cs="Times New Roman"/>
          <w:szCs w:val="24"/>
        </w:rPr>
        <w:footnoteReference w:id="7"/>
      </w:r>
      <w:r w:rsidR="00CA11A0">
        <w:rPr>
          <w:rFonts w:ascii="Times New Roman" w:eastAsia="Times New Roman" w:hAnsi="Times New Roman" w:cs="Times New Roman"/>
          <w:sz w:val="24"/>
          <w:szCs w:val="24"/>
        </w:rPr>
        <w:t xml:space="preserve">  T</w:t>
      </w:r>
      <w:r w:rsidR="009A1EF6">
        <w:rPr>
          <w:rFonts w:ascii="Times New Roman" w:eastAsia="Times New Roman" w:hAnsi="Times New Roman" w:cs="Times New Roman"/>
          <w:sz w:val="24"/>
          <w:szCs w:val="24"/>
        </w:rPr>
        <w:t xml:space="preserve">he provision regarding the effective date of a tariff change was included in 16 TAC </w:t>
      </w:r>
      <w:r w:rsidR="009A1EF6" w:rsidRPr="00A95AA6">
        <w:rPr>
          <w:rFonts w:ascii="Times New Roman" w:eastAsia="Times New Roman" w:hAnsi="Times New Roman" w:cs="Times New Roman"/>
          <w:sz w:val="24"/>
          <w:szCs w:val="24"/>
        </w:rPr>
        <w:t>§ 24.2</w:t>
      </w:r>
      <w:r w:rsidR="009A1EF6">
        <w:rPr>
          <w:rFonts w:ascii="Times New Roman" w:eastAsia="Times New Roman" w:hAnsi="Times New Roman" w:cs="Times New Roman"/>
          <w:sz w:val="24"/>
          <w:szCs w:val="24"/>
        </w:rPr>
        <w:t>1</w:t>
      </w:r>
      <w:r w:rsidR="009A1EF6" w:rsidRPr="00A95AA6">
        <w:rPr>
          <w:rFonts w:ascii="Times New Roman" w:eastAsia="Times New Roman" w:hAnsi="Times New Roman" w:cs="Times New Roman"/>
          <w:sz w:val="24"/>
          <w:szCs w:val="24"/>
        </w:rPr>
        <w:t>(</w:t>
      </w:r>
      <w:proofErr w:type="spellStart"/>
      <w:r w:rsidR="009A1EF6">
        <w:rPr>
          <w:rFonts w:ascii="Times New Roman" w:eastAsia="Times New Roman" w:hAnsi="Times New Roman" w:cs="Times New Roman"/>
          <w:sz w:val="24"/>
          <w:szCs w:val="24"/>
        </w:rPr>
        <w:t>i</w:t>
      </w:r>
      <w:proofErr w:type="spellEnd"/>
      <w:r w:rsidR="009A1EF6" w:rsidRPr="00A95AA6">
        <w:rPr>
          <w:rFonts w:ascii="Times New Roman" w:eastAsia="Times New Roman" w:hAnsi="Times New Roman" w:cs="Times New Roman"/>
          <w:sz w:val="24"/>
          <w:szCs w:val="24"/>
        </w:rPr>
        <w:t>)</w:t>
      </w:r>
      <w:r w:rsidR="00CA11A0">
        <w:rPr>
          <w:rFonts w:ascii="Times New Roman" w:eastAsia="Times New Roman" w:hAnsi="Times New Roman" w:cs="Times New Roman"/>
          <w:sz w:val="24"/>
          <w:szCs w:val="24"/>
        </w:rPr>
        <w:t xml:space="preserve"> in 2015</w:t>
      </w:r>
      <w:r w:rsidR="009A1EF6">
        <w:rPr>
          <w:rFonts w:ascii="Times New Roman" w:eastAsia="Times New Roman" w:hAnsi="Times New Roman" w:cs="Times New Roman"/>
          <w:sz w:val="24"/>
          <w:szCs w:val="24"/>
        </w:rPr>
        <w:t>.</w:t>
      </w:r>
      <w:r w:rsidR="00CA11A0">
        <w:rPr>
          <w:rStyle w:val="FootnoteReference"/>
          <w:rFonts w:ascii="Times New Roman" w:eastAsia="Times New Roman" w:hAnsi="Times New Roman" w:cs="Times New Roman"/>
          <w:szCs w:val="24"/>
        </w:rPr>
        <w:footnoteReference w:id="8"/>
      </w:r>
      <w:r w:rsidR="009A1EF6">
        <w:rPr>
          <w:rFonts w:ascii="Times New Roman" w:eastAsia="Times New Roman" w:hAnsi="Times New Roman" w:cs="Times New Roman"/>
          <w:sz w:val="24"/>
          <w:szCs w:val="24"/>
        </w:rPr>
        <w:t xml:space="preserve">  </w:t>
      </w:r>
    </w:p>
    <w:p w14:paraId="6C2FCD99" w14:textId="77777777" w:rsidR="00E85801" w:rsidRDefault="009A1EF6" w:rsidP="009A1EF6">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 Project No. 45112, the Commission moved the language regarding</w:t>
      </w:r>
      <w:r w:rsidR="00465EEE">
        <w:rPr>
          <w:rFonts w:ascii="Times New Roman" w:eastAsia="Times New Roman" w:hAnsi="Times New Roman" w:cs="Times New Roman"/>
          <w:sz w:val="24"/>
          <w:szCs w:val="24"/>
        </w:rPr>
        <w:t xml:space="preserve"> purchased water and sewage treatment pass-through provisions </w:t>
      </w:r>
      <w:r w:rsidR="00CA11A0">
        <w:rPr>
          <w:rFonts w:ascii="Times New Roman" w:eastAsia="Times New Roman" w:hAnsi="Times New Roman" w:cs="Times New Roman"/>
          <w:sz w:val="24"/>
          <w:szCs w:val="24"/>
        </w:rPr>
        <w:t xml:space="preserve">from 16 TAC </w:t>
      </w:r>
      <w:r w:rsidR="00CA11A0" w:rsidRPr="00A95AA6">
        <w:rPr>
          <w:rFonts w:ascii="Times New Roman" w:eastAsia="Times New Roman" w:hAnsi="Times New Roman" w:cs="Times New Roman"/>
          <w:sz w:val="24"/>
          <w:szCs w:val="24"/>
        </w:rPr>
        <w:t>§ 24.2</w:t>
      </w:r>
      <w:r w:rsidR="00CA11A0">
        <w:rPr>
          <w:rFonts w:ascii="Times New Roman" w:eastAsia="Times New Roman" w:hAnsi="Times New Roman" w:cs="Times New Roman"/>
          <w:sz w:val="24"/>
          <w:szCs w:val="24"/>
        </w:rPr>
        <w:t>1</w:t>
      </w:r>
      <w:r w:rsidR="00CA11A0" w:rsidRPr="00A95AA6">
        <w:rPr>
          <w:rFonts w:ascii="Times New Roman" w:eastAsia="Times New Roman" w:hAnsi="Times New Roman" w:cs="Times New Roman"/>
          <w:sz w:val="24"/>
          <w:szCs w:val="24"/>
        </w:rPr>
        <w:t>(h)</w:t>
      </w:r>
      <w:r w:rsidR="00CA11A0">
        <w:rPr>
          <w:rFonts w:ascii="Times New Roman" w:eastAsia="Times New Roman" w:hAnsi="Times New Roman" w:cs="Times New Roman"/>
          <w:sz w:val="24"/>
          <w:szCs w:val="24"/>
        </w:rPr>
        <w:t xml:space="preserve"> </w:t>
      </w:r>
      <w:r w:rsidR="00465EEE">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w:t>
      </w:r>
      <w:r w:rsidR="00465EEE">
        <w:rPr>
          <w:rFonts w:ascii="Times New Roman" w:eastAsia="Times New Roman" w:hAnsi="Times New Roman" w:cs="Times New Roman"/>
          <w:sz w:val="24"/>
          <w:szCs w:val="24"/>
        </w:rPr>
        <w:t xml:space="preserve">16 TAC </w:t>
      </w:r>
      <w:r w:rsidR="00465EEE" w:rsidRPr="00A95AA6">
        <w:rPr>
          <w:rFonts w:ascii="Times New Roman" w:eastAsia="Times New Roman" w:hAnsi="Times New Roman" w:cs="Times New Roman"/>
          <w:sz w:val="24"/>
          <w:szCs w:val="24"/>
        </w:rPr>
        <w:t>§</w:t>
      </w:r>
      <w:r w:rsidR="003F13AA">
        <w:rPr>
          <w:rFonts w:ascii="Times New Roman" w:eastAsia="Times New Roman" w:hAnsi="Times New Roman" w:cs="Times New Roman"/>
          <w:sz w:val="24"/>
          <w:szCs w:val="24"/>
        </w:rPr>
        <w:t> </w:t>
      </w:r>
      <w:r w:rsidR="00465EEE">
        <w:rPr>
          <w:rFonts w:ascii="Times New Roman" w:eastAsia="Times New Roman" w:hAnsi="Times New Roman" w:cs="Times New Roman"/>
          <w:sz w:val="24"/>
          <w:szCs w:val="24"/>
        </w:rPr>
        <w:t>24.25(b)(2)(E).</w:t>
      </w:r>
      <w:r w:rsidR="00465EEE">
        <w:rPr>
          <w:rStyle w:val="FootnoteReference"/>
          <w:rFonts w:ascii="Times New Roman" w:eastAsia="Times New Roman" w:hAnsi="Times New Roman" w:cs="Times New Roman"/>
          <w:szCs w:val="24"/>
        </w:rPr>
        <w:footnoteReference w:id="9"/>
      </w:r>
      <w:r w:rsidR="003F13AA">
        <w:rPr>
          <w:rFonts w:ascii="Times New Roman" w:eastAsia="Times New Roman" w:hAnsi="Times New Roman" w:cs="Times New Roman"/>
          <w:sz w:val="24"/>
          <w:szCs w:val="24"/>
        </w:rPr>
        <w:t xml:space="preserve"> </w:t>
      </w:r>
      <w:r w:rsidR="00CA11A0">
        <w:rPr>
          <w:rFonts w:ascii="Times New Roman" w:eastAsia="Times New Roman" w:hAnsi="Times New Roman" w:cs="Times New Roman"/>
          <w:sz w:val="24"/>
          <w:szCs w:val="24"/>
        </w:rPr>
        <w:t>In doing so, the Commission authorized both the implementation of a new pass-through provision and the revision of an existing provision as a minor tariff change eligible for administrative approval.</w:t>
      </w:r>
      <w:r w:rsidR="00CA11A0">
        <w:rPr>
          <w:rStyle w:val="FootnoteReference"/>
          <w:rFonts w:ascii="Times New Roman" w:eastAsia="Times New Roman" w:hAnsi="Times New Roman" w:cs="Times New Roman"/>
          <w:szCs w:val="24"/>
        </w:rPr>
        <w:footnoteReference w:id="10"/>
      </w:r>
      <w:r w:rsidR="00CA11A0">
        <w:rPr>
          <w:rFonts w:ascii="Times New Roman" w:eastAsia="Times New Roman" w:hAnsi="Times New Roman" w:cs="Times New Roman"/>
          <w:sz w:val="24"/>
          <w:szCs w:val="24"/>
        </w:rPr>
        <w:t xml:space="preserve"> Moving this language also resulted in </w:t>
      </w:r>
      <w:r w:rsidR="00E85801">
        <w:rPr>
          <w:rFonts w:ascii="Times New Roman" w:eastAsia="Times New Roman" w:hAnsi="Times New Roman" w:cs="Times New Roman"/>
          <w:sz w:val="24"/>
          <w:szCs w:val="24"/>
        </w:rPr>
        <w:t xml:space="preserve">moving the effective date language from 16 TAC </w:t>
      </w:r>
      <w:r w:rsidR="00E85801" w:rsidRPr="00A95AA6">
        <w:rPr>
          <w:rFonts w:ascii="Times New Roman" w:eastAsia="Times New Roman" w:hAnsi="Times New Roman" w:cs="Times New Roman"/>
          <w:sz w:val="24"/>
          <w:szCs w:val="24"/>
        </w:rPr>
        <w:t>§ 24.2</w:t>
      </w:r>
      <w:r w:rsidR="00E85801">
        <w:rPr>
          <w:rFonts w:ascii="Times New Roman" w:eastAsia="Times New Roman" w:hAnsi="Times New Roman" w:cs="Times New Roman"/>
          <w:sz w:val="24"/>
          <w:szCs w:val="24"/>
        </w:rPr>
        <w:t>1</w:t>
      </w:r>
      <w:r w:rsidR="00E85801" w:rsidRPr="00A95AA6">
        <w:rPr>
          <w:rFonts w:ascii="Times New Roman" w:eastAsia="Times New Roman" w:hAnsi="Times New Roman" w:cs="Times New Roman"/>
          <w:sz w:val="24"/>
          <w:szCs w:val="24"/>
        </w:rPr>
        <w:t>(</w:t>
      </w:r>
      <w:r w:rsidR="00E85801">
        <w:rPr>
          <w:rFonts w:ascii="Times New Roman" w:eastAsia="Times New Roman" w:hAnsi="Times New Roman" w:cs="Times New Roman"/>
          <w:sz w:val="24"/>
          <w:szCs w:val="24"/>
        </w:rPr>
        <w:t>i</w:t>
      </w:r>
      <w:r w:rsidR="00E85801" w:rsidRPr="00A95AA6">
        <w:rPr>
          <w:rFonts w:ascii="Times New Roman" w:eastAsia="Times New Roman" w:hAnsi="Times New Roman" w:cs="Times New Roman"/>
          <w:sz w:val="24"/>
          <w:szCs w:val="24"/>
        </w:rPr>
        <w:t>)</w:t>
      </w:r>
      <w:r w:rsidR="00E85801">
        <w:rPr>
          <w:rFonts w:ascii="Times New Roman" w:eastAsia="Times New Roman" w:hAnsi="Times New Roman" w:cs="Times New Roman"/>
          <w:sz w:val="24"/>
          <w:szCs w:val="24"/>
        </w:rPr>
        <w:t xml:space="preserve"> to </w:t>
      </w:r>
      <w:r w:rsidR="00CA11A0">
        <w:rPr>
          <w:rFonts w:ascii="Times New Roman" w:eastAsia="Times New Roman" w:hAnsi="Times New Roman" w:cs="Times New Roman"/>
          <w:sz w:val="24"/>
          <w:szCs w:val="24"/>
        </w:rPr>
        <w:t xml:space="preserve">16 TAC </w:t>
      </w:r>
      <w:r w:rsidR="00CA11A0" w:rsidRPr="00A95AA6">
        <w:rPr>
          <w:rFonts w:ascii="Times New Roman" w:eastAsia="Times New Roman" w:hAnsi="Times New Roman" w:cs="Times New Roman"/>
          <w:sz w:val="24"/>
          <w:szCs w:val="24"/>
        </w:rPr>
        <w:t>§ 24.2</w:t>
      </w:r>
      <w:r w:rsidR="00CA11A0">
        <w:rPr>
          <w:rFonts w:ascii="Times New Roman" w:eastAsia="Times New Roman" w:hAnsi="Times New Roman" w:cs="Times New Roman"/>
          <w:sz w:val="24"/>
          <w:szCs w:val="24"/>
        </w:rPr>
        <w:t>1</w:t>
      </w:r>
      <w:r w:rsidR="00CA11A0" w:rsidRPr="00A95AA6">
        <w:rPr>
          <w:rFonts w:ascii="Times New Roman" w:eastAsia="Times New Roman" w:hAnsi="Times New Roman" w:cs="Times New Roman"/>
          <w:sz w:val="24"/>
          <w:szCs w:val="24"/>
        </w:rPr>
        <w:t>(h)</w:t>
      </w:r>
      <w:r w:rsidR="00CA11A0">
        <w:rPr>
          <w:rFonts w:ascii="Times New Roman" w:eastAsia="Times New Roman" w:hAnsi="Times New Roman" w:cs="Times New Roman"/>
          <w:sz w:val="24"/>
          <w:szCs w:val="24"/>
        </w:rPr>
        <w:t>.</w:t>
      </w:r>
      <w:r w:rsidR="00E85801">
        <w:rPr>
          <w:rStyle w:val="FootnoteReference"/>
          <w:rFonts w:ascii="Times New Roman" w:eastAsia="Times New Roman" w:hAnsi="Times New Roman" w:cs="Times New Roman"/>
          <w:szCs w:val="24"/>
        </w:rPr>
        <w:footnoteReference w:id="11"/>
      </w:r>
      <w:r w:rsidR="00E85801">
        <w:rPr>
          <w:rFonts w:ascii="Times New Roman" w:eastAsia="Times New Roman" w:hAnsi="Times New Roman" w:cs="Times New Roman"/>
          <w:sz w:val="24"/>
          <w:szCs w:val="24"/>
        </w:rPr>
        <w:t xml:space="preserve"> </w:t>
      </w:r>
      <w:r w:rsidR="003F13AA">
        <w:rPr>
          <w:rFonts w:ascii="Times New Roman" w:eastAsia="Times New Roman" w:hAnsi="Times New Roman" w:cs="Times New Roman"/>
          <w:sz w:val="24"/>
          <w:szCs w:val="24"/>
        </w:rPr>
        <w:t xml:space="preserve">In Project No. 47303, the paragraphs in 16 TAC </w:t>
      </w:r>
      <w:r w:rsidR="003F13AA" w:rsidRPr="00A95AA6">
        <w:rPr>
          <w:rFonts w:ascii="Times New Roman" w:eastAsia="Times New Roman" w:hAnsi="Times New Roman" w:cs="Times New Roman"/>
          <w:sz w:val="24"/>
          <w:szCs w:val="24"/>
        </w:rPr>
        <w:t>§</w:t>
      </w:r>
      <w:r w:rsidR="003F13AA">
        <w:rPr>
          <w:rFonts w:ascii="Times New Roman" w:eastAsia="Times New Roman" w:hAnsi="Times New Roman" w:cs="Times New Roman"/>
          <w:sz w:val="24"/>
          <w:szCs w:val="24"/>
        </w:rPr>
        <w:t> 24.25(b)(2) were re-lettered and paragraph (E) became paragraph (F).</w:t>
      </w:r>
      <w:r w:rsidR="003F13AA">
        <w:rPr>
          <w:rStyle w:val="FootnoteReference"/>
          <w:rFonts w:ascii="Times New Roman" w:eastAsia="Times New Roman" w:hAnsi="Times New Roman" w:cs="Times New Roman"/>
          <w:szCs w:val="24"/>
        </w:rPr>
        <w:footnoteReference w:id="12"/>
      </w:r>
      <w:r w:rsidR="003F13AA">
        <w:rPr>
          <w:rFonts w:ascii="Times New Roman" w:eastAsia="Times New Roman" w:hAnsi="Times New Roman" w:cs="Times New Roman"/>
          <w:sz w:val="24"/>
          <w:szCs w:val="24"/>
        </w:rPr>
        <w:t xml:space="preserve">  </w:t>
      </w:r>
    </w:p>
    <w:p w14:paraId="48A4C6A6" w14:textId="0CB765DF" w:rsidR="001507B0" w:rsidRDefault="00E85801" w:rsidP="009A1EF6">
      <w:pPr>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Based on the foregoing history</w:t>
      </w:r>
      <w:r w:rsidR="00465EEE">
        <w:rPr>
          <w:rFonts w:ascii="Times New Roman" w:eastAsia="Times New Roman" w:hAnsi="Times New Roman" w:cs="Times New Roman"/>
          <w:sz w:val="24"/>
          <w:szCs w:val="24"/>
        </w:rPr>
        <w:t xml:space="preserve">, if the provision in Monarch’s tariff titled “Water Pass-Through Gallonage Charge Adjustment” was added to the tariff and approved prior to </w:t>
      </w:r>
      <w:r w:rsidR="00533BA2">
        <w:rPr>
          <w:rFonts w:ascii="Times New Roman" w:eastAsia="Times New Roman" w:hAnsi="Times New Roman" w:cs="Times New Roman"/>
          <w:sz w:val="24"/>
          <w:szCs w:val="24"/>
        </w:rPr>
        <w:t>December 15, 2016</w:t>
      </w:r>
      <w:r w:rsidR="00465EEE">
        <w:rPr>
          <w:rFonts w:ascii="Times New Roman" w:eastAsia="Times New Roman" w:hAnsi="Times New Roman" w:cs="Times New Roman"/>
          <w:sz w:val="24"/>
          <w:szCs w:val="24"/>
        </w:rPr>
        <w:t xml:space="preserve">, it is likely that </w:t>
      </w:r>
      <w:r w:rsidR="003F13AA">
        <w:rPr>
          <w:rFonts w:ascii="Times New Roman" w:eastAsia="Times New Roman" w:hAnsi="Times New Roman" w:cs="Times New Roman"/>
          <w:sz w:val="24"/>
          <w:szCs w:val="24"/>
        </w:rPr>
        <w:t xml:space="preserve">at the time it was written, </w:t>
      </w:r>
      <w:r w:rsidR="00465EEE">
        <w:rPr>
          <w:rFonts w:ascii="Times New Roman" w:eastAsia="Times New Roman" w:hAnsi="Times New Roman" w:cs="Times New Roman"/>
          <w:sz w:val="24"/>
          <w:szCs w:val="24"/>
        </w:rPr>
        <w:t xml:space="preserve">the </w:t>
      </w:r>
      <w:r w:rsidR="002B2E47">
        <w:rPr>
          <w:rFonts w:ascii="Times New Roman" w:eastAsia="Times New Roman" w:hAnsi="Times New Roman" w:cs="Times New Roman"/>
          <w:sz w:val="24"/>
          <w:szCs w:val="24"/>
        </w:rPr>
        <w:t xml:space="preserve">reference to </w:t>
      </w:r>
      <w:r w:rsidR="002B2E47" w:rsidRPr="00A95AA6">
        <w:rPr>
          <w:rFonts w:ascii="Times New Roman" w:eastAsia="Times New Roman" w:hAnsi="Times New Roman" w:cs="Times New Roman"/>
          <w:sz w:val="24"/>
          <w:szCs w:val="24"/>
        </w:rPr>
        <w:t>16 TAC § 24.2</w:t>
      </w:r>
      <w:r w:rsidR="003F13AA">
        <w:rPr>
          <w:rFonts w:ascii="Times New Roman" w:eastAsia="Times New Roman" w:hAnsi="Times New Roman" w:cs="Times New Roman"/>
          <w:sz w:val="24"/>
          <w:szCs w:val="24"/>
        </w:rPr>
        <w:t>1</w:t>
      </w:r>
      <w:r w:rsidR="002B2E47" w:rsidRPr="00A95AA6">
        <w:rPr>
          <w:rFonts w:ascii="Times New Roman" w:eastAsia="Times New Roman" w:hAnsi="Times New Roman" w:cs="Times New Roman"/>
          <w:sz w:val="24"/>
          <w:szCs w:val="24"/>
        </w:rPr>
        <w:t>(h)</w:t>
      </w:r>
      <w:r w:rsidR="002B2E47">
        <w:rPr>
          <w:rFonts w:ascii="Times New Roman" w:eastAsia="Times New Roman" w:hAnsi="Times New Roman" w:cs="Times New Roman"/>
          <w:sz w:val="24"/>
          <w:szCs w:val="24"/>
        </w:rPr>
        <w:t xml:space="preserve"> </w:t>
      </w:r>
      <w:r w:rsidR="003F13AA">
        <w:rPr>
          <w:rFonts w:ascii="Times New Roman" w:eastAsia="Times New Roman" w:hAnsi="Times New Roman" w:cs="Times New Roman"/>
          <w:sz w:val="24"/>
          <w:szCs w:val="24"/>
        </w:rPr>
        <w:t xml:space="preserve">was a reference to the </w:t>
      </w:r>
      <w:r w:rsidR="002B2E47">
        <w:rPr>
          <w:rFonts w:ascii="Times New Roman" w:eastAsia="Times New Roman" w:hAnsi="Times New Roman" w:cs="Times New Roman"/>
          <w:sz w:val="24"/>
          <w:szCs w:val="24"/>
        </w:rPr>
        <w:t xml:space="preserve">version of </w:t>
      </w:r>
      <w:r w:rsidR="002B2E47" w:rsidRPr="00A95AA6">
        <w:rPr>
          <w:rFonts w:ascii="Times New Roman" w:eastAsia="Times New Roman" w:hAnsi="Times New Roman" w:cs="Times New Roman"/>
          <w:sz w:val="24"/>
          <w:szCs w:val="24"/>
        </w:rPr>
        <w:t>16 TAC § 24.2</w:t>
      </w:r>
      <w:r w:rsidR="002B2E47">
        <w:rPr>
          <w:rFonts w:ascii="Times New Roman" w:eastAsia="Times New Roman" w:hAnsi="Times New Roman" w:cs="Times New Roman"/>
          <w:sz w:val="24"/>
          <w:szCs w:val="24"/>
        </w:rPr>
        <w:t>1</w:t>
      </w:r>
      <w:r w:rsidR="002B2E47" w:rsidRPr="00A95AA6">
        <w:rPr>
          <w:rFonts w:ascii="Times New Roman" w:eastAsia="Times New Roman" w:hAnsi="Times New Roman" w:cs="Times New Roman"/>
          <w:sz w:val="24"/>
          <w:szCs w:val="24"/>
        </w:rPr>
        <w:t>(h)</w:t>
      </w:r>
      <w:r w:rsidR="002B2E47">
        <w:rPr>
          <w:rFonts w:ascii="Times New Roman" w:eastAsia="Times New Roman" w:hAnsi="Times New Roman" w:cs="Times New Roman"/>
          <w:sz w:val="24"/>
          <w:szCs w:val="24"/>
        </w:rPr>
        <w:t xml:space="preserve"> </w:t>
      </w:r>
      <w:r w:rsidR="003F13AA">
        <w:rPr>
          <w:rFonts w:ascii="Times New Roman" w:eastAsia="Times New Roman" w:hAnsi="Times New Roman" w:cs="Times New Roman"/>
          <w:sz w:val="24"/>
          <w:szCs w:val="24"/>
        </w:rPr>
        <w:t xml:space="preserve">that </w:t>
      </w:r>
      <w:r>
        <w:rPr>
          <w:rFonts w:ascii="Times New Roman" w:eastAsia="Times New Roman" w:hAnsi="Times New Roman" w:cs="Times New Roman"/>
          <w:sz w:val="24"/>
          <w:szCs w:val="24"/>
        </w:rPr>
        <w:t>barred implementation of a new pass-through provision outside a base rate proceeding</w:t>
      </w:r>
      <w:r w:rsidR="00465EE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Further, this citation in the tariff should have been updated as the provisions of </w:t>
      </w:r>
      <w:r w:rsidRPr="00A95AA6">
        <w:rPr>
          <w:rFonts w:ascii="Times New Roman" w:eastAsia="Times New Roman" w:hAnsi="Times New Roman" w:cs="Times New Roman"/>
          <w:sz w:val="24"/>
          <w:szCs w:val="24"/>
        </w:rPr>
        <w:t>16 TAC § 24.2</w:t>
      </w:r>
      <w:r>
        <w:rPr>
          <w:rFonts w:ascii="Times New Roman" w:eastAsia="Times New Roman" w:hAnsi="Times New Roman" w:cs="Times New Roman"/>
          <w:sz w:val="24"/>
          <w:szCs w:val="24"/>
        </w:rPr>
        <w:t>1</w:t>
      </w:r>
      <w:r w:rsidRPr="00A95AA6">
        <w:rPr>
          <w:rFonts w:ascii="Times New Roman" w:eastAsia="Times New Roman" w:hAnsi="Times New Roman" w:cs="Times New Roman"/>
          <w:sz w:val="24"/>
          <w:szCs w:val="24"/>
        </w:rPr>
        <w:t>(h)</w:t>
      </w:r>
      <w:r>
        <w:rPr>
          <w:rFonts w:ascii="Times New Roman" w:eastAsia="Times New Roman" w:hAnsi="Times New Roman" w:cs="Times New Roman"/>
          <w:sz w:val="24"/>
          <w:szCs w:val="24"/>
        </w:rPr>
        <w:t xml:space="preserve"> were moved to 16 TAC </w:t>
      </w:r>
      <w:r w:rsidRPr="00A95AA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24.25(b)(2)(E) and then (F).  </w:t>
      </w:r>
      <w:r w:rsidR="002B2E47">
        <w:rPr>
          <w:rFonts w:ascii="Times New Roman" w:eastAsia="Times New Roman" w:hAnsi="Times New Roman" w:cs="Times New Roman"/>
          <w:sz w:val="24"/>
          <w:szCs w:val="24"/>
        </w:rPr>
        <w:t>Therefore, this provision should actually read “</w:t>
      </w:r>
      <w:r w:rsidR="002B2E47" w:rsidRPr="002B2E47">
        <w:rPr>
          <w:rFonts w:ascii="Times New Roman" w:eastAsia="Times New Roman" w:hAnsi="Times New Roman" w:cs="Times New Roman"/>
          <w:bCs/>
          <w:sz w:val="24"/>
          <w:szCs w:val="24"/>
        </w:rPr>
        <w:t>Implementation of this WPC adjustment provision shall be governed by 16 TAC § 24.2</w:t>
      </w:r>
      <w:r w:rsidR="002B2E47">
        <w:rPr>
          <w:rFonts w:ascii="Times New Roman" w:eastAsia="Times New Roman" w:hAnsi="Times New Roman" w:cs="Times New Roman"/>
          <w:bCs/>
          <w:sz w:val="24"/>
          <w:szCs w:val="24"/>
        </w:rPr>
        <w:t>5(b)(2)(F).”</w:t>
      </w:r>
    </w:p>
    <w:p w14:paraId="35151A1A" w14:textId="165D4CA6" w:rsidR="00E85801" w:rsidRDefault="00E85801" w:rsidP="00EF1F23">
      <w:pPr>
        <w:spacing w:after="0" w:line="36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Nevertheless, </w:t>
      </w:r>
      <w:r w:rsidR="00587371">
        <w:rPr>
          <w:rFonts w:ascii="Times New Roman" w:eastAsia="Times New Roman" w:hAnsi="Times New Roman" w:cs="Times New Roman"/>
          <w:bCs/>
          <w:sz w:val="24"/>
          <w:szCs w:val="24"/>
        </w:rPr>
        <w:t>this citation has not been updated,</w:t>
      </w:r>
      <w:r w:rsidR="00EF1F23">
        <w:rPr>
          <w:rFonts w:ascii="Times New Roman" w:eastAsia="Times New Roman" w:hAnsi="Times New Roman" w:cs="Times New Roman"/>
          <w:bCs/>
          <w:sz w:val="24"/>
          <w:szCs w:val="24"/>
        </w:rPr>
        <w:t xml:space="preserve"> and the plain language of Monarch’s tariff contains two seemingly contradictory statements.  First, it states that Monarch may begin charging a purchased water pass-through provision on the effective date in the notice provided to customers.  Second, it states that implementation of the purchased water pass-through provision is governed by</w:t>
      </w:r>
      <w:r>
        <w:rPr>
          <w:rFonts w:ascii="Times New Roman" w:eastAsia="Times New Roman" w:hAnsi="Times New Roman" w:cs="Times New Roman"/>
          <w:bCs/>
          <w:sz w:val="24"/>
          <w:szCs w:val="24"/>
        </w:rPr>
        <w:t xml:space="preserve"> </w:t>
      </w:r>
      <w:r w:rsidR="00EF1F23" w:rsidRPr="002B2E47">
        <w:rPr>
          <w:rFonts w:ascii="Times New Roman" w:eastAsia="Times New Roman" w:hAnsi="Times New Roman" w:cs="Times New Roman"/>
          <w:bCs/>
          <w:sz w:val="24"/>
          <w:szCs w:val="24"/>
        </w:rPr>
        <w:t>16 TAC § 24.2</w:t>
      </w:r>
      <w:r w:rsidR="00EF1F23">
        <w:rPr>
          <w:rFonts w:ascii="Times New Roman" w:eastAsia="Times New Roman" w:hAnsi="Times New Roman" w:cs="Times New Roman"/>
          <w:bCs/>
          <w:sz w:val="24"/>
          <w:szCs w:val="24"/>
        </w:rPr>
        <w:t xml:space="preserve">5(h), which establishes the </w:t>
      </w:r>
      <w:r w:rsidR="00EF1F23" w:rsidRPr="00EF1F23">
        <w:rPr>
          <w:rFonts w:ascii="Times New Roman" w:eastAsia="Times New Roman" w:hAnsi="Times New Roman" w:cs="Times New Roman"/>
          <w:bCs/>
          <w:sz w:val="24"/>
          <w:szCs w:val="24"/>
        </w:rPr>
        <w:t xml:space="preserve">effective date of a tariff change </w:t>
      </w:r>
      <w:r w:rsidR="00EF1F23">
        <w:rPr>
          <w:rFonts w:ascii="Times New Roman" w:eastAsia="Times New Roman" w:hAnsi="Times New Roman" w:cs="Times New Roman"/>
          <w:bCs/>
          <w:sz w:val="24"/>
          <w:szCs w:val="24"/>
        </w:rPr>
        <w:t xml:space="preserve">as </w:t>
      </w:r>
      <w:r w:rsidR="00EF1F23" w:rsidRPr="00EF1F23">
        <w:rPr>
          <w:rFonts w:ascii="Times New Roman" w:eastAsia="Times New Roman" w:hAnsi="Times New Roman" w:cs="Times New Roman"/>
          <w:bCs/>
          <w:sz w:val="24"/>
          <w:szCs w:val="24"/>
        </w:rPr>
        <w:t>the date of approval by the regulatory</w:t>
      </w:r>
      <w:r w:rsidR="00EF1F23">
        <w:rPr>
          <w:rFonts w:ascii="Times New Roman" w:eastAsia="Times New Roman" w:hAnsi="Times New Roman" w:cs="Times New Roman"/>
          <w:bCs/>
          <w:sz w:val="24"/>
          <w:szCs w:val="24"/>
        </w:rPr>
        <w:t xml:space="preserve"> </w:t>
      </w:r>
      <w:r w:rsidR="00EF1F23" w:rsidRPr="00EF1F23">
        <w:rPr>
          <w:rFonts w:ascii="Times New Roman" w:eastAsia="Times New Roman" w:hAnsi="Times New Roman" w:cs="Times New Roman"/>
          <w:bCs/>
          <w:sz w:val="24"/>
          <w:szCs w:val="24"/>
        </w:rPr>
        <w:t>authority, unless otherwise specified by the regulatory authority</w:t>
      </w:r>
      <w:r w:rsidR="00EF1F23">
        <w:rPr>
          <w:rFonts w:ascii="Times New Roman" w:eastAsia="Times New Roman" w:hAnsi="Times New Roman" w:cs="Times New Roman"/>
          <w:bCs/>
          <w:sz w:val="24"/>
          <w:szCs w:val="24"/>
        </w:rPr>
        <w:t xml:space="preserve">, </w:t>
      </w:r>
      <w:r w:rsidR="00EF1F23" w:rsidRPr="00EF1F23">
        <w:rPr>
          <w:rFonts w:ascii="Times New Roman" w:eastAsia="Times New Roman" w:hAnsi="Times New Roman" w:cs="Times New Roman"/>
          <w:bCs/>
          <w:sz w:val="24"/>
          <w:szCs w:val="24"/>
        </w:rPr>
        <w:t>in a commission order</w:t>
      </w:r>
      <w:r w:rsidR="00EF1F23">
        <w:rPr>
          <w:rFonts w:ascii="Times New Roman" w:eastAsia="Times New Roman" w:hAnsi="Times New Roman" w:cs="Times New Roman"/>
          <w:bCs/>
          <w:sz w:val="24"/>
          <w:szCs w:val="24"/>
        </w:rPr>
        <w:t xml:space="preserve">, or in a </w:t>
      </w:r>
      <w:r w:rsidR="00EF1F23" w:rsidRPr="00EF1F23">
        <w:rPr>
          <w:rFonts w:ascii="Times New Roman" w:eastAsia="Times New Roman" w:hAnsi="Times New Roman" w:cs="Times New Roman"/>
          <w:bCs/>
          <w:sz w:val="24"/>
          <w:szCs w:val="24"/>
        </w:rPr>
        <w:t>rule</w:t>
      </w:r>
      <w:r w:rsidR="00EF1F23">
        <w:rPr>
          <w:rFonts w:ascii="Times New Roman" w:eastAsia="Times New Roman" w:hAnsi="Times New Roman" w:cs="Times New Roman"/>
          <w:bCs/>
          <w:sz w:val="24"/>
          <w:szCs w:val="24"/>
        </w:rPr>
        <w:t xml:space="preserve">.  </w:t>
      </w:r>
    </w:p>
    <w:p w14:paraId="14523ACC" w14:textId="31A66A52" w:rsidR="00626C2D" w:rsidRDefault="00626C2D" w:rsidP="00EF1F23">
      <w:pPr>
        <w:spacing w:after="0" w:line="360" w:lineRule="auto"/>
        <w:ind w:firstLine="720"/>
        <w:jc w:val="both"/>
        <w:rPr>
          <w:rFonts w:ascii="Times New Roman" w:eastAsia="Times New Roman" w:hAnsi="Times New Roman" w:cs="Times New Roman"/>
          <w:bCs/>
          <w:sz w:val="24"/>
          <w:szCs w:val="24"/>
        </w:rPr>
      </w:pPr>
    </w:p>
    <w:p w14:paraId="584986D5" w14:textId="77777777" w:rsidR="00626C2D" w:rsidRPr="00EF1F23" w:rsidRDefault="00626C2D" w:rsidP="00EF1F23">
      <w:pPr>
        <w:spacing w:after="0" w:line="360" w:lineRule="auto"/>
        <w:ind w:firstLine="720"/>
        <w:jc w:val="both"/>
        <w:rPr>
          <w:rFonts w:ascii="Times New Roman" w:eastAsia="Times New Roman" w:hAnsi="Times New Roman" w:cs="Times New Roman"/>
          <w:bCs/>
          <w:sz w:val="24"/>
          <w:szCs w:val="24"/>
        </w:rPr>
      </w:pPr>
    </w:p>
    <w:p w14:paraId="52E5FB6A" w14:textId="1AEDE37B" w:rsidR="002B2E47" w:rsidRPr="002B2E47" w:rsidRDefault="002B2E47" w:rsidP="002B2E47">
      <w:pPr>
        <w:pStyle w:val="ListParagraph"/>
        <w:numPr>
          <w:ilvl w:val="0"/>
          <w:numId w:val="5"/>
        </w:numPr>
        <w:spacing w:after="0" w:line="360" w:lineRule="auto"/>
        <w:jc w:val="both"/>
        <w:rPr>
          <w:rFonts w:ascii="Times New Roman" w:eastAsia="Times New Roman" w:hAnsi="Times New Roman" w:cs="Times New Roman"/>
          <w:b/>
          <w:bCs/>
          <w:sz w:val="24"/>
          <w:szCs w:val="24"/>
        </w:rPr>
      </w:pPr>
      <w:r w:rsidRPr="002B2E47">
        <w:rPr>
          <w:rFonts w:ascii="Times New Roman" w:eastAsia="Times New Roman" w:hAnsi="Times New Roman" w:cs="Times New Roman"/>
          <w:b/>
          <w:bCs/>
          <w:sz w:val="24"/>
          <w:szCs w:val="24"/>
        </w:rPr>
        <w:lastRenderedPageBreak/>
        <w:t>Procedures in 16 TAC § 24.25(b)(2)(F) to Implement</w:t>
      </w:r>
      <w:r w:rsidR="00587371">
        <w:rPr>
          <w:rFonts w:ascii="Times New Roman" w:eastAsia="Times New Roman" w:hAnsi="Times New Roman" w:cs="Times New Roman"/>
          <w:b/>
          <w:bCs/>
          <w:sz w:val="24"/>
          <w:szCs w:val="24"/>
        </w:rPr>
        <w:t xml:space="preserve"> </w:t>
      </w:r>
      <w:r w:rsidRPr="002B2E47">
        <w:rPr>
          <w:rFonts w:ascii="Times New Roman" w:eastAsia="Times New Roman" w:hAnsi="Times New Roman" w:cs="Times New Roman"/>
          <w:b/>
          <w:bCs/>
          <w:sz w:val="24"/>
          <w:szCs w:val="24"/>
        </w:rPr>
        <w:t>a Pass-Through Rate.</w:t>
      </w:r>
    </w:p>
    <w:p w14:paraId="717DB662" w14:textId="0FAA42AC" w:rsidR="00236D54" w:rsidRDefault="00CC02B8" w:rsidP="00DB0934">
      <w:pPr>
        <w:spacing w:after="0" w:line="360" w:lineRule="auto"/>
        <w:ind w:firstLine="720"/>
        <w:jc w:val="both"/>
        <w:rPr>
          <w:rFonts w:ascii="Times New Roman" w:eastAsia="Times New Roman" w:hAnsi="Times New Roman" w:cs="Times New Roman"/>
          <w:sz w:val="24"/>
          <w:szCs w:val="24"/>
        </w:rPr>
      </w:pPr>
      <w:r w:rsidRPr="00A95AA6">
        <w:rPr>
          <w:rFonts w:ascii="Times New Roman" w:eastAsia="Times New Roman" w:hAnsi="Times New Roman" w:cs="Times New Roman"/>
          <w:sz w:val="24"/>
          <w:szCs w:val="24"/>
        </w:rPr>
        <w:t xml:space="preserve">The rule governing the process </w:t>
      </w:r>
      <w:r w:rsidR="00587371">
        <w:rPr>
          <w:rFonts w:ascii="Times New Roman" w:eastAsia="Times New Roman" w:hAnsi="Times New Roman" w:cs="Times New Roman"/>
          <w:sz w:val="24"/>
          <w:szCs w:val="24"/>
        </w:rPr>
        <w:t>to be used</w:t>
      </w:r>
      <w:r w:rsidRPr="00A95AA6">
        <w:rPr>
          <w:rFonts w:ascii="Times New Roman" w:eastAsia="Times New Roman" w:hAnsi="Times New Roman" w:cs="Times New Roman"/>
          <w:sz w:val="24"/>
          <w:szCs w:val="24"/>
        </w:rPr>
        <w:t xml:space="preserve"> to implement a pass-through </w:t>
      </w:r>
      <w:r w:rsidR="00587371">
        <w:rPr>
          <w:rFonts w:ascii="Times New Roman" w:eastAsia="Times New Roman" w:hAnsi="Times New Roman" w:cs="Times New Roman"/>
          <w:sz w:val="24"/>
          <w:szCs w:val="24"/>
        </w:rPr>
        <w:t>rate</w:t>
      </w:r>
      <w:r w:rsidRPr="00A95AA6">
        <w:rPr>
          <w:rFonts w:ascii="Times New Roman" w:eastAsia="Times New Roman" w:hAnsi="Times New Roman" w:cs="Times New Roman"/>
          <w:sz w:val="24"/>
          <w:szCs w:val="24"/>
        </w:rPr>
        <w:t xml:space="preserve"> is 16 TAC § </w:t>
      </w:r>
      <w:r>
        <w:rPr>
          <w:rFonts w:ascii="Times New Roman" w:eastAsia="Times New Roman" w:hAnsi="Times New Roman" w:cs="Times New Roman"/>
          <w:sz w:val="24"/>
          <w:szCs w:val="24"/>
        </w:rPr>
        <w:t>24.25</w:t>
      </w:r>
      <w:r w:rsidRPr="00A95AA6">
        <w:rPr>
          <w:rFonts w:ascii="Times New Roman" w:eastAsia="Times New Roman" w:hAnsi="Times New Roman" w:cs="Times New Roman"/>
          <w:sz w:val="24"/>
          <w:szCs w:val="24"/>
        </w:rPr>
        <w:t xml:space="preserve">(b)(2)(F). </w:t>
      </w:r>
      <w:r>
        <w:rPr>
          <w:rFonts w:ascii="Times New Roman" w:eastAsia="Times New Roman" w:hAnsi="Times New Roman" w:cs="Times New Roman"/>
          <w:sz w:val="24"/>
          <w:szCs w:val="24"/>
        </w:rPr>
        <w:t xml:space="preserve">While this rule </w:t>
      </w:r>
      <w:r w:rsidRPr="00A95AA6">
        <w:rPr>
          <w:rFonts w:ascii="Times New Roman" w:eastAsia="Times New Roman" w:hAnsi="Times New Roman" w:cs="Times New Roman"/>
          <w:sz w:val="24"/>
          <w:szCs w:val="24"/>
        </w:rPr>
        <w:t xml:space="preserve">requires a utility </w:t>
      </w:r>
      <w:r w:rsidR="00DB0934">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file a written</w:t>
      </w:r>
      <w:r w:rsidR="00DB0934">
        <w:rPr>
          <w:rFonts w:ascii="Times New Roman" w:eastAsia="Times New Roman" w:hAnsi="Times New Roman" w:cs="Times New Roman"/>
          <w:sz w:val="24"/>
          <w:szCs w:val="24"/>
        </w:rPr>
        <w:t xml:space="preserve"> </w:t>
      </w:r>
      <w:r w:rsidRPr="00A95AA6">
        <w:rPr>
          <w:rFonts w:ascii="Times New Roman" w:eastAsia="Times New Roman" w:hAnsi="Times New Roman" w:cs="Times New Roman"/>
          <w:sz w:val="24"/>
          <w:szCs w:val="24"/>
        </w:rPr>
        <w:t xml:space="preserve">notice </w:t>
      </w:r>
      <w:r w:rsidR="00DB0934">
        <w:rPr>
          <w:rFonts w:ascii="Times New Roman" w:eastAsia="Times New Roman" w:hAnsi="Times New Roman" w:cs="Times New Roman"/>
          <w:sz w:val="24"/>
          <w:szCs w:val="24"/>
        </w:rPr>
        <w:t xml:space="preserve">with </w:t>
      </w:r>
      <w:r w:rsidRPr="00A95AA6">
        <w:rPr>
          <w:rFonts w:ascii="Times New Roman" w:eastAsia="Times New Roman" w:hAnsi="Times New Roman" w:cs="Times New Roman"/>
          <w:sz w:val="24"/>
          <w:szCs w:val="24"/>
        </w:rPr>
        <w:t xml:space="preserve"> the Commission and </w:t>
      </w:r>
      <w:r w:rsidR="00DB0934">
        <w:rPr>
          <w:rFonts w:ascii="Times New Roman" w:eastAsia="Times New Roman" w:hAnsi="Times New Roman" w:cs="Times New Roman"/>
          <w:sz w:val="24"/>
          <w:szCs w:val="24"/>
        </w:rPr>
        <w:t xml:space="preserve">provide notice </w:t>
      </w:r>
      <w:r w:rsidRPr="00A95AA6">
        <w:rPr>
          <w:rFonts w:ascii="Times New Roman" w:eastAsia="Times New Roman" w:hAnsi="Times New Roman" w:cs="Times New Roman"/>
          <w:sz w:val="24"/>
          <w:szCs w:val="24"/>
        </w:rPr>
        <w:t>to customers</w:t>
      </w:r>
      <w:r w:rsidR="00DB0934">
        <w:rPr>
          <w:rFonts w:ascii="Times New Roman" w:eastAsia="Times New Roman" w:hAnsi="Times New Roman" w:cs="Times New Roman"/>
          <w:sz w:val="24"/>
          <w:szCs w:val="24"/>
        </w:rPr>
        <w:t xml:space="preserve"> “prior to the </w:t>
      </w:r>
      <w:r w:rsidR="00DB0934" w:rsidRPr="00DB0934">
        <w:rPr>
          <w:rFonts w:ascii="Times New Roman" w:eastAsia="Times New Roman" w:hAnsi="Times New Roman" w:cs="Times New Roman"/>
          <w:sz w:val="24"/>
          <w:szCs w:val="24"/>
        </w:rPr>
        <w:t>beginning of the billing period in</w:t>
      </w:r>
      <w:r w:rsidR="00DB0934">
        <w:rPr>
          <w:rFonts w:ascii="Times New Roman" w:eastAsia="Times New Roman" w:hAnsi="Times New Roman" w:cs="Times New Roman"/>
          <w:sz w:val="24"/>
          <w:szCs w:val="24"/>
        </w:rPr>
        <w:t xml:space="preserve"> </w:t>
      </w:r>
      <w:r w:rsidR="00DB0934" w:rsidRPr="00DB0934">
        <w:rPr>
          <w:rFonts w:ascii="Times New Roman" w:eastAsia="Times New Roman" w:hAnsi="Times New Roman" w:cs="Times New Roman"/>
          <w:sz w:val="24"/>
          <w:szCs w:val="24"/>
        </w:rPr>
        <w:t xml:space="preserve">which the </w:t>
      </w:r>
      <w:r w:rsidR="00DB0934">
        <w:rPr>
          <w:rFonts w:ascii="Times New Roman" w:eastAsia="Times New Roman" w:hAnsi="Times New Roman" w:cs="Times New Roman"/>
          <w:sz w:val="24"/>
          <w:szCs w:val="24"/>
        </w:rPr>
        <w:t xml:space="preserve">[pass-through] </w:t>
      </w:r>
      <w:r w:rsidR="00DB0934" w:rsidRPr="00DB0934">
        <w:rPr>
          <w:rFonts w:ascii="Times New Roman" w:eastAsia="Times New Roman" w:hAnsi="Times New Roman" w:cs="Times New Roman"/>
          <w:sz w:val="24"/>
          <w:szCs w:val="24"/>
        </w:rPr>
        <w:t>revision takes effec</w:t>
      </w:r>
      <w:r w:rsidR="00DB0934">
        <w:rPr>
          <w:rFonts w:ascii="Times New Roman" w:eastAsia="Times New Roman" w:hAnsi="Times New Roman" w:cs="Times New Roman"/>
          <w:sz w:val="24"/>
          <w:szCs w:val="24"/>
        </w:rPr>
        <w:t>t[,]”</w:t>
      </w:r>
      <w:r w:rsidRPr="00A95AA6">
        <w:rPr>
          <w:rFonts w:ascii="Times New Roman" w:eastAsia="Times New Roman" w:hAnsi="Times New Roman" w:cs="Times New Roman"/>
          <w:sz w:val="24"/>
          <w:szCs w:val="24"/>
        </w:rPr>
        <w:t xml:space="preserve">, it does not </w:t>
      </w:r>
      <w:r w:rsidR="00DB0934">
        <w:rPr>
          <w:rFonts w:ascii="Times New Roman" w:eastAsia="Times New Roman" w:hAnsi="Times New Roman" w:cs="Times New Roman"/>
          <w:sz w:val="24"/>
          <w:szCs w:val="24"/>
        </w:rPr>
        <w:t>specify how far in advance of the billing period the notice must be provided.</w:t>
      </w:r>
      <w:r w:rsidR="001507B0">
        <w:rPr>
          <w:rStyle w:val="FootnoteReference"/>
          <w:rFonts w:ascii="Times New Roman" w:eastAsia="Times New Roman" w:hAnsi="Times New Roman" w:cs="Times New Roman"/>
          <w:szCs w:val="24"/>
        </w:rPr>
        <w:footnoteReference w:id="13"/>
      </w:r>
      <w:r w:rsidR="00DB0934">
        <w:rPr>
          <w:rFonts w:ascii="Times New Roman" w:eastAsia="Times New Roman" w:hAnsi="Times New Roman" w:cs="Times New Roman"/>
          <w:sz w:val="24"/>
          <w:szCs w:val="24"/>
        </w:rPr>
        <w:t xml:space="preserve">  In other words, it does not require </w:t>
      </w:r>
      <w:r w:rsidRPr="00A95AA6">
        <w:rPr>
          <w:rFonts w:ascii="Times New Roman" w:eastAsia="Times New Roman" w:hAnsi="Times New Roman" w:cs="Times New Roman"/>
          <w:sz w:val="24"/>
          <w:szCs w:val="24"/>
        </w:rPr>
        <w:t>that the effective date</w:t>
      </w:r>
      <w:r w:rsidR="00DB0934">
        <w:rPr>
          <w:rFonts w:ascii="Times New Roman" w:eastAsia="Times New Roman" w:hAnsi="Times New Roman" w:cs="Times New Roman"/>
          <w:sz w:val="24"/>
          <w:szCs w:val="24"/>
        </w:rPr>
        <w:t xml:space="preserve"> proposed by the utility allow sufficient time for the Commission to review and </w:t>
      </w:r>
      <w:r w:rsidR="001507B0">
        <w:rPr>
          <w:rFonts w:ascii="Times New Roman" w:eastAsia="Times New Roman" w:hAnsi="Times New Roman" w:cs="Times New Roman"/>
          <w:sz w:val="24"/>
          <w:szCs w:val="24"/>
        </w:rPr>
        <w:t xml:space="preserve">approve the requested pass-through </w:t>
      </w:r>
      <w:r w:rsidR="00205931">
        <w:rPr>
          <w:rFonts w:ascii="Times New Roman" w:eastAsia="Times New Roman" w:hAnsi="Times New Roman" w:cs="Times New Roman"/>
          <w:sz w:val="24"/>
          <w:szCs w:val="24"/>
        </w:rPr>
        <w:t>provision</w:t>
      </w:r>
      <w:r w:rsidR="00587371">
        <w:rPr>
          <w:rFonts w:ascii="Times New Roman" w:eastAsia="Times New Roman" w:hAnsi="Times New Roman" w:cs="Times New Roman"/>
          <w:sz w:val="24"/>
          <w:szCs w:val="24"/>
        </w:rPr>
        <w:t xml:space="preserve">, nor does it allow for a suspension of the </w:t>
      </w:r>
      <w:r w:rsidR="00205931">
        <w:rPr>
          <w:rFonts w:ascii="Times New Roman" w:eastAsia="Times New Roman" w:hAnsi="Times New Roman" w:cs="Times New Roman"/>
          <w:sz w:val="24"/>
          <w:szCs w:val="24"/>
        </w:rPr>
        <w:t xml:space="preserve">proposed </w:t>
      </w:r>
      <w:r w:rsidR="00587371">
        <w:rPr>
          <w:rFonts w:ascii="Times New Roman" w:eastAsia="Times New Roman" w:hAnsi="Times New Roman" w:cs="Times New Roman"/>
          <w:sz w:val="24"/>
          <w:szCs w:val="24"/>
        </w:rPr>
        <w:t>effective dat</w:t>
      </w:r>
      <w:r w:rsidR="00205931">
        <w:rPr>
          <w:rFonts w:ascii="Times New Roman" w:eastAsia="Times New Roman" w:hAnsi="Times New Roman" w:cs="Times New Roman"/>
          <w:sz w:val="24"/>
          <w:szCs w:val="24"/>
        </w:rPr>
        <w:t>e</w:t>
      </w:r>
      <w:r w:rsidR="001507B0">
        <w:rPr>
          <w:rFonts w:ascii="Times New Roman" w:eastAsia="Times New Roman" w:hAnsi="Times New Roman" w:cs="Times New Roman"/>
          <w:sz w:val="24"/>
          <w:szCs w:val="24"/>
        </w:rPr>
        <w:t>.</w:t>
      </w:r>
      <w:r w:rsidR="00587371">
        <w:rPr>
          <w:rFonts w:ascii="Times New Roman" w:eastAsia="Times New Roman" w:hAnsi="Times New Roman" w:cs="Times New Roman"/>
          <w:sz w:val="24"/>
          <w:szCs w:val="24"/>
        </w:rPr>
        <w:t xml:space="preserve">  Instead, </w:t>
      </w:r>
      <w:r w:rsidR="00587371" w:rsidRPr="00A95AA6">
        <w:rPr>
          <w:rFonts w:ascii="Times New Roman" w:eastAsia="Times New Roman" w:hAnsi="Times New Roman" w:cs="Times New Roman"/>
          <w:sz w:val="24"/>
          <w:szCs w:val="24"/>
        </w:rPr>
        <w:t xml:space="preserve">16 TAC § </w:t>
      </w:r>
      <w:r w:rsidR="00587371">
        <w:rPr>
          <w:rFonts w:ascii="Times New Roman" w:eastAsia="Times New Roman" w:hAnsi="Times New Roman" w:cs="Times New Roman"/>
          <w:sz w:val="24"/>
          <w:szCs w:val="24"/>
        </w:rPr>
        <w:t>24.25</w:t>
      </w:r>
      <w:r w:rsidR="00587371" w:rsidRPr="00A95AA6">
        <w:rPr>
          <w:rFonts w:ascii="Times New Roman" w:eastAsia="Times New Roman" w:hAnsi="Times New Roman" w:cs="Times New Roman"/>
          <w:sz w:val="24"/>
          <w:szCs w:val="24"/>
        </w:rPr>
        <w:t>(b)(2)(F)</w:t>
      </w:r>
      <w:r w:rsidR="00587371">
        <w:rPr>
          <w:rFonts w:ascii="Times New Roman" w:eastAsia="Times New Roman" w:hAnsi="Times New Roman" w:cs="Times New Roman"/>
          <w:sz w:val="24"/>
          <w:szCs w:val="24"/>
        </w:rPr>
        <w:t xml:space="preserve"> is silent on </w:t>
      </w:r>
      <w:r w:rsidR="00205931">
        <w:rPr>
          <w:rFonts w:ascii="Times New Roman" w:eastAsia="Times New Roman" w:hAnsi="Times New Roman" w:cs="Times New Roman"/>
          <w:sz w:val="24"/>
          <w:szCs w:val="24"/>
        </w:rPr>
        <w:t>whether a utility may collect a proposed pass-through rate</w:t>
      </w:r>
      <w:r w:rsidR="00587371">
        <w:rPr>
          <w:rFonts w:ascii="Times New Roman" w:eastAsia="Times New Roman" w:hAnsi="Times New Roman" w:cs="Times New Roman"/>
          <w:sz w:val="24"/>
          <w:szCs w:val="24"/>
        </w:rPr>
        <w:t xml:space="preserve"> </w:t>
      </w:r>
      <w:r w:rsidR="00205931">
        <w:rPr>
          <w:rFonts w:ascii="Times New Roman" w:eastAsia="Times New Roman" w:hAnsi="Times New Roman" w:cs="Times New Roman"/>
          <w:sz w:val="24"/>
          <w:szCs w:val="24"/>
        </w:rPr>
        <w:t xml:space="preserve">in the </w:t>
      </w:r>
      <w:r w:rsidR="00587371">
        <w:rPr>
          <w:rFonts w:ascii="Times New Roman" w:eastAsia="Times New Roman" w:hAnsi="Times New Roman" w:cs="Times New Roman"/>
          <w:sz w:val="24"/>
          <w:szCs w:val="24"/>
        </w:rPr>
        <w:t xml:space="preserve">period between </w:t>
      </w:r>
      <w:r w:rsidR="00205931">
        <w:rPr>
          <w:rFonts w:ascii="Times New Roman" w:eastAsia="Times New Roman" w:hAnsi="Times New Roman" w:cs="Times New Roman"/>
          <w:sz w:val="24"/>
          <w:szCs w:val="24"/>
        </w:rPr>
        <w:t>the effective date in the notice</w:t>
      </w:r>
      <w:r w:rsidR="00C60438">
        <w:rPr>
          <w:rFonts w:ascii="Times New Roman" w:eastAsia="Times New Roman" w:hAnsi="Times New Roman" w:cs="Times New Roman"/>
          <w:sz w:val="24"/>
          <w:szCs w:val="24"/>
        </w:rPr>
        <w:t xml:space="preserve"> and</w:t>
      </w:r>
      <w:r w:rsidR="00205931">
        <w:rPr>
          <w:rFonts w:ascii="Times New Roman" w:eastAsia="Times New Roman" w:hAnsi="Times New Roman" w:cs="Times New Roman"/>
          <w:sz w:val="24"/>
          <w:szCs w:val="24"/>
        </w:rPr>
        <w:t xml:space="preserve"> </w:t>
      </w:r>
      <w:r w:rsidR="00587371">
        <w:rPr>
          <w:rFonts w:ascii="Times New Roman" w:eastAsia="Times New Roman" w:hAnsi="Times New Roman" w:cs="Times New Roman"/>
          <w:sz w:val="24"/>
          <w:szCs w:val="24"/>
        </w:rPr>
        <w:t xml:space="preserve">the </w:t>
      </w:r>
      <w:r w:rsidR="00205931">
        <w:rPr>
          <w:rFonts w:ascii="Times New Roman" w:eastAsia="Times New Roman" w:hAnsi="Times New Roman" w:cs="Times New Roman"/>
          <w:sz w:val="24"/>
          <w:szCs w:val="24"/>
        </w:rPr>
        <w:t xml:space="preserve">date the </w:t>
      </w:r>
      <w:r w:rsidR="00587371">
        <w:rPr>
          <w:rFonts w:ascii="Times New Roman" w:eastAsia="Times New Roman" w:hAnsi="Times New Roman" w:cs="Times New Roman"/>
          <w:sz w:val="24"/>
          <w:szCs w:val="24"/>
        </w:rPr>
        <w:t xml:space="preserve">pass-through application </w:t>
      </w:r>
      <w:r w:rsidR="00205931">
        <w:rPr>
          <w:rFonts w:ascii="Times New Roman" w:eastAsia="Times New Roman" w:hAnsi="Times New Roman" w:cs="Times New Roman"/>
          <w:sz w:val="24"/>
          <w:szCs w:val="24"/>
        </w:rPr>
        <w:t>is approved by the Commission</w:t>
      </w:r>
      <w:r w:rsidR="00587371" w:rsidRPr="00A95AA6">
        <w:rPr>
          <w:rFonts w:ascii="Times New Roman" w:eastAsia="Times New Roman" w:hAnsi="Times New Roman" w:cs="Times New Roman"/>
          <w:sz w:val="24"/>
          <w:szCs w:val="24"/>
        </w:rPr>
        <w:t>.</w:t>
      </w:r>
      <w:r w:rsidR="00205931">
        <w:rPr>
          <w:rStyle w:val="FootnoteReference"/>
          <w:rFonts w:ascii="Times New Roman" w:eastAsia="Times New Roman" w:hAnsi="Times New Roman" w:cs="Times New Roman"/>
          <w:szCs w:val="24"/>
        </w:rPr>
        <w:footnoteReference w:id="14"/>
      </w:r>
      <w:r w:rsidR="00587371" w:rsidRPr="00A95AA6">
        <w:rPr>
          <w:rFonts w:ascii="Times New Roman" w:eastAsia="Times New Roman" w:hAnsi="Times New Roman" w:cs="Times New Roman"/>
          <w:sz w:val="24"/>
          <w:szCs w:val="24"/>
        </w:rPr>
        <w:t xml:space="preserve"> </w:t>
      </w:r>
      <w:r w:rsidRPr="00A95AA6">
        <w:rPr>
          <w:rFonts w:ascii="Times New Roman" w:eastAsia="Times New Roman" w:hAnsi="Times New Roman" w:cs="Times New Roman"/>
          <w:sz w:val="24"/>
          <w:szCs w:val="24"/>
        </w:rPr>
        <w:t xml:space="preserve"> </w:t>
      </w:r>
      <w:r w:rsidR="00236D54">
        <w:rPr>
          <w:rFonts w:ascii="Times New Roman" w:eastAsia="Times New Roman" w:hAnsi="Times New Roman" w:cs="Times New Roman"/>
          <w:sz w:val="24"/>
          <w:szCs w:val="24"/>
        </w:rPr>
        <w:t xml:space="preserve">  </w:t>
      </w:r>
    </w:p>
    <w:p w14:paraId="3C02992E" w14:textId="45BB6C34" w:rsidR="00255A85" w:rsidRDefault="00205931" w:rsidP="00DB0934">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Absent any specific guidance</w:t>
      </w:r>
      <w:r w:rsidR="00B34476">
        <w:rPr>
          <w:rFonts w:ascii="Times New Roman" w:eastAsia="Times New Roman" w:hAnsi="Times New Roman" w:cs="Times New Roman"/>
          <w:sz w:val="24"/>
          <w:szCs w:val="24"/>
        </w:rPr>
        <w:t xml:space="preserve"> on the effective date</w:t>
      </w:r>
      <w:r>
        <w:rPr>
          <w:rFonts w:ascii="Times New Roman" w:eastAsia="Times New Roman" w:hAnsi="Times New Roman" w:cs="Times New Roman"/>
          <w:sz w:val="24"/>
          <w:szCs w:val="24"/>
        </w:rPr>
        <w:t xml:space="preserve"> in </w:t>
      </w:r>
      <w:r w:rsidRPr="00A95AA6">
        <w:rPr>
          <w:rFonts w:ascii="Times New Roman" w:eastAsia="Times New Roman" w:hAnsi="Times New Roman" w:cs="Times New Roman"/>
          <w:sz w:val="24"/>
          <w:szCs w:val="24"/>
        </w:rPr>
        <w:t xml:space="preserve">16 TAC § </w:t>
      </w:r>
      <w:r>
        <w:rPr>
          <w:rFonts w:ascii="Times New Roman" w:eastAsia="Times New Roman" w:hAnsi="Times New Roman" w:cs="Times New Roman"/>
          <w:sz w:val="24"/>
          <w:szCs w:val="24"/>
        </w:rPr>
        <w:t>24.25</w:t>
      </w:r>
      <w:r w:rsidRPr="00A95AA6">
        <w:rPr>
          <w:rFonts w:ascii="Times New Roman" w:eastAsia="Times New Roman" w:hAnsi="Times New Roman" w:cs="Times New Roman"/>
          <w:sz w:val="24"/>
          <w:szCs w:val="24"/>
        </w:rPr>
        <w:t>(b)(2)(F)</w:t>
      </w:r>
      <w:r>
        <w:rPr>
          <w:rFonts w:ascii="Times New Roman" w:eastAsia="Times New Roman" w:hAnsi="Times New Roman" w:cs="Times New Roman"/>
          <w:sz w:val="24"/>
          <w:szCs w:val="24"/>
        </w:rPr>
        <w:t xml:space="preserve">, it is reasonable to apply </w:t>
      </w:r>
      <w:r w:rsidRPr="00A95AA6">
        <w:rPr>
          <w:rFonts w:ascii="Times New Roman" w:eastAsia="Times New Roman" w:hAnsi="Times New Roman" w:cs="Times New Roman"/>
          <w:sz w:val="24"/>
          <w:szCs w:val="24"/>
        </w:rPr>
        <w:t xml:space="preserve">16 TAC § </w:t>
      </w:r>
      <w:r>
        <w:rPr>
          <w:rFonts w:ascii="Times New Roman" w:eastAsia="Times New Roman" w:hAnsi="Times New Roman" w:cs="Times New Roman"/>
          <w:sz w:val="24"/>
          <w:szCs w:val="24"/>
        </w:rPr>
        <w:t>24.25</w:t>
      </w:r>
      <w:r w:rsidRPr="00A95AA6">
        <w:rPr>
          <w:rFonts w:ascii="Times New Roman" w:eastAsia="Times New Roman" w:hAnsi="Times New Roman" w:cs="Times New Roman"/>
          <w:sz w:val="24"/>
          <w:szCs w:val="24"/>
        </w:rPr>
        <w:t>(</w:t>
      </w:r>
      <w:r>
        <w:rPr>
          <w:rFonts w:ascii="Times New Roman" w:eastAsia="Times New Roman" w:hAnsi="Times New Roman" w:cs="Times New Roman"/>
          <w:sz w:val="24"/>
          <w:szCs w:val="24"/>
        </w:rPr>
        <w:t>h) to an application to implement or revise a pass-through provision. Accordingly, a proposed pass-through rate is not effective until the Commission approves it</w:t>
      </w:r>
      <w:r w:rsidR="00B3447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regardless of the effective date in the notice provided to customers</w:t>
      </w:r>
      <w:r w:rsidR="00B3447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unless </w:t>
      </w:r>
      <w:r w:rsidR="00B34476">
        <w:rPr>
          <w:rFonts w:ascii="Times New Roman" w:eastAsia="Times New Roman" w:hAnsi="Times New Roman" w:cs="Times New Roman"/>
          <w:sz w:val="24"/>
          <w:szCs w:val="24"/>
        </w:rPr>
        <w:t>otherwise stated in a Commission rule or specified by the Commission in an order or by some other method.</w:t>
      </w:r>
      <w:r w:rsidR="00255A85">
        <w:rPr>
          <w:rStyle w:val="FootnoteReference"/>
          <w:rFonts w:ascii="Times New Roman" w:eastAsia="Times New Roman" w:hAnsi="Times New Roman" w:cs="Times New Roman"/>
          <w:szCs w:val="24"/>
        </w:rPr>
        <w:footnoteReference w:id="15"/>
      </w:r>
      <w:r w:rsidR="00B34476">
        <w:rPr>
          <w:rFonts w:ascii="Times New Roman" w:eastAsia="Times New Roman" w:hAnsi="Times New Roman" w:cs="Times New Roman"/>
          <w:sz w:val="24"/>
          <w:szCs w:val="24"/>
        </w:rPr>
        <w:t xml:space="preserve">  Because Monarch’s tariff is approved by the Commission, one could argue that the provision authorizing the collection of the pass-through rate beginning on the effective date included in the notice to customers </w:t>
      </w:r>
      <w:r w:rsidR="00255A85">
        <w:rPr>
          <w:rFonts w:ascii="Times New Roman" w:eastAsia="Times New Roman" w:hAnsi="Times New Roman" w:cs="Times New Roman"/>
          <w:sz w:val="24"/>
          <w:szCs w:val="24"/>
        </w:rPr>
        <w:t xml:space="preserve">falls within the “unless otherwise specified by the regulatory authority” exception in 16 TAC </w:t>
      </w:r>
      <w:r w:rsidR="00255A85" w:rsidRPr="00A95AA6">
        <w:rPr>
          <w:rFonts w:ascii="Times New Roman" w:eastAsia="Times New Roman" w:hAnsi="Times New Roman" w:cs="Times New Roman"/>
          <w:sz w:val="24"/>
          <w:szCs w:val="24"/>
        </w:rPr>
        <w:t xml:space="preserve">§ </w:t>
      </w:r>
      <w:r w:rsidR="00255A85">
        <w:rPr>
          <w:rFonts w:ascii="Times New Roman" w:eastAsia="Times New Roman" w:hAnsi="Times New Roman" w:cs="Times New Roman"/>
          <w:sz w:val="24"/>
          <w:szCs w:val="24"/>
        </w:rPr>
        <w:t>24.25</w:t>
      </w:r>
      <w:r w:rsidR="00255A85" w:rsidRPr="00A95AA6">
        <w:rPr>
          <w:rFonts w:ascii="Times New Roman" w:eastAsia="Times New Roman" w:hAnsi="Times New Roman" w:cs="Times New Roman"/>
          <w:sz w:val="24"/>
          <w:szCs w:val="24"/>
        </w:rPr>
        <w:t>(</w:t>
      </w:r>
      <w:r w:rsidR="00255A85">
        <w:rPr>
          <w:rFonts w:ascii="Times New Roman" w:eastAsia="Times New Roman" w:hAnsi="Times New Roman" w:cs="Times New Roman"/>
          <w:sz w:val="24"/>
          <w:szCs w:val="24"/>
        </w:rPr>
        <w:t>h)</w:t>
      </w:r>
      <w:r w:rsidR="00B34476" w:rsidRPr="00B34476">
        <w:rPr>
          <w:rFonts w:ascii="Times New Roman" w:eastAsia="Times New Roman" w:hAnsi="Times New Roman" w:cs="Times New Roman"/>
          <w:sz w:val="24"/>
          <w:szCs w:val="24"/>
        </w:rPr>
        <w:t>.</w:t>
      </w:r>
      <w:r w:rsidR="00255A85">
        <w:rPr>
          <w:rFonts w:ascii="Times New Roman" w:eastAsia="Times New Roman" w:hAnsi="Times New Roman" w:cs="Times New Roman"/>
          <w:sz w:val="24"/>
          <w:szCs w:val="24"/>
        </w:rPr>
        <w:t xml:space="preserve"> However, this interpretation would be at odds with the explicit reference to 16 TAC </w:t>
      </w:r>
      <w:r w:rsidR="00255A85" w:rsidRPr="00A95AA6">
        <w:rPr>
          <w:rFonts w:ascii="Times New Roman" w:eastAsia="Times New Roman" w:hAnsi="Times New Roman" w:cs="Times New Roman"/>
          <w:sz w:val="24"/>
          <w:szCs w:val="24"/>
        </w:rPr>
        <w:t xml:space="preserve">§ </w:t>
      </w:r>
      <w:r w:rsidR="00255A85">
        <w:rPr>
          <w:rFonts w:ascii="Times New Roman" w:eastAsia="Times New Roman" w:hAnsi="Times New Roman" w:cs="Times New Roman"/>
          <w:sz w:val="24"/>
          <w:szCs w:val="24"/>
        </w:rPr>
        <w:t>24.21</w:t>
      </w:r>
      <w:r w:rsidR="00255A85" w:rsidRPr="00A95AA6">
        <w:rPr>
          <w:rFonts w:ascii="Times New Roman" w:eastAsia="Times New Roman" w:hAnsi="Times New Roman" w:cs="Times New Roman"/>
          <w:sz w:val="24"/>
          <w:szCs w:val="24"/>
        </w:rPr>
        <w:t>(</w:t>
      </w:r>
      <w:r w:rsidR="00255A85">
        <w:rPr>
          <w:rFonts w:ascii="Times New Roman" w:eastAsia="Times New Roman" w:hAnsi="Times New Roman" w:cs="Times New Roman"/>
          <w:sz w:val="24"/>
          <w:szCs w:val="24"/>
        </w:rPr>
        <w:t xml:space="preserve">h) (now 16 TAC </w:t>
      </w:r>
      <w:r w:rsidR="00255A85" w:rsidRPr="00A95AA6">
        <w:rPr>
          <w:rFonts w:ascii="Times New Roman" w:eastAsia="Times New Roman" w:hAnsi="Times New Roman" w:cs="Times New Roman"/>
          <w:sz w:val="24"/>
          <w:szCs w:val="24"/>
        </w:rPr>
        <w:t xml:space="preserve">§ </w:t>
      </w:r>
      <w:r w:rsidR="00255A85">
        <w:rPr>
          <w:rFonts w:ascii="Times New Roman" w:eastAsia="Times New Roman" w:hAnsi="Times New Roman" w:cs="Times New Roman"/>
          <w:sz w:val="24"/>
          <w:szCs w:val="24"/>
        </w:rPr>
        <w:t>24.2</w:t>
      </w:r>
      <w:r w:rsidR="003B5905">
        <w:rPr>
          <w:rFonts w:ascii="Times New Roman" w:eastAsia="Times New Roman" w:hAnsi="Times New Roman" w:cs="Times New Roman"/>
          <w:sz w:val="24"/>
          <w:szCs w:val="24"/>
        </w:rPr>
        <w:t>5</w:t>
      </w:r>
      <w:r w:rsidR="00255A85" w:rsidRPr="00A95AA6">
        <w:rPr>
          <w:rFonts w:ascii="Times New Roman" w:eastAsia="Times New Roman" w:hAnsi="Times New Roman" w:cs="Times New Roman"/>
          <w:sz w:val="24"/>
          <w:szCs w:val="24"/>
        </w:rPr>
        <w:t>(</w:t>
      </w:r>
      <w:r w:rsidR="00255A85">
        <w:rPr>
          <w:rFonts w:ascii="Times New Roman" w:eastAsia="Times New Roman" w:hAnsi="Times New Roman" w:cs="Times New Roman"/>
          <w:sz w:val="24"/>
          <w:szCs w:val="24"/>
        </w:rPr>
        <w:t>h)) also contained in the tariff</w:t>
      </w:r>
      <w:r w:rsidR="00255A85" w:rsidRPr="00B34476">
        <w:rPr>
          <w:rFonts w:ascii="Times New Roman" w:eastAsia="Times New Roman" w:hAnsi="Times New Roman" w:cs="Times New Roman"/>
          <w:sz w:val="24"/>
          <w:szCs w:val="24"/>
        </w:rPr>
        <w:t>.</w:t>
      </w:r>
      <w:r w:rsidR="00255A85">
        <w:rPr>
          <w:rFonts w:ascii="Times New Roman" w:eastAsia="Times New Roman" w:hAnsi="Times New Roman" w:cs="Times New Roman"/>
          <w:sz w:val="24"/>
          <w:szCs w:val="24"/>
        </w:rPr>
        <w:t xml:space="preserve"> </w:t>
      </w:r>
    </w:p>
    <w:p w14:paraId="00EB4A1C" w14:textId="11CC795C" w:rsidR="003931AD" w:rsidRDefault="00255A85" w:rsidP="00DB0934">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addition, there is nothing to indicate that Commission approval </w:t>
      </w:r>
      <w:r w:rsidR="003B5905">
        <w:rPr>
          <w:rFonts w:ascii="Times New Roman" w:eastAsia="Times New Roman" w:hAnsi="Times New Roman" w:cs="Times New Roman"/>
          <w:sz w:val="24"/>
          <w:szCs w:val="24"/>
        </w:rPr>
        <w:t xml:space="preserve">of </w:t>
      </w:r>
      <w:r w:rsidR="003931AD">
        <w:rPr>
          <w:rFonts w:ascii="Times New Roman" w:eastAsia="Times New Roman" w:hAnsi="Times New Roman" w:cs="Times New Roman"/>
          <w:sz w:val="24"/>
          <w:szCs w:val="24"/>
        </w:rPr>
        <w:t>tariff language</w:t>
      </w:r>
      <w:r w:rsidR="000C1982">
        <w:rPr>
          <w:rFonts w:ascii="Times New Roman" w:eastAsia="Times New Roman" w:hAnsi="Times New Roman" w:cs="Times New Roman"/>
          <w:sz w:val="24"/>
          <w:szCs w:val="24"/>
        </w:rPr>
        <w:t xml:space="preserve"> in a proceeding where the specific language is not relevant to the applicat</w:t>
      </w:r>
      <w:r w:rsidR="00260A9C">
        <w:rPr>
          <w:rFonts w:ascii="Times New Roman" w:eastAsia="Times New Roman" w:hAnsi="Times New Roman" w:cs="Times New Roman"/>
          <w:sz w:val="24"/>
          <w:szCs w:val="24"/>
        </w:rPr>
        <w:t>ion</w:t>
      </w:r>
      <w:r w:rsidR="000C1982">
        <w:rPr>
          <w:rFonts w:ascii="Times New Roman" w:eastAsia="Times New Roman" w:hAnsi="Times New Roman" w:cs="Times New Roman"/>
          <w:sz w:val="24"/>
          <w:szCs w:val="24"/>
        </w:rPr>
        <w:t xml:space="preserve"> under review </w:t>
      </w:r>
      <w:r w:rsidR="00260A9C">
        <w:rPr>
          <w:rFonts w:ascii="Times New Roman" w:eastAsia="Times New Roman" w:hAnsi="Times New Roman" w:cs="Times New Roman"/>
          <w:sz w:val="24"/>
          <w:szCs w:val="24"/>
        </w:rPr>
        <w:t xml:space="preserve">is the type of approval contemplated as an exception to 16 TAC </w:t>
      </w:r>
      <w:r w:rsidR="00260A9C" w:rsidRPr="00A95AA6">
        <w:rPr>
          <w:rFonts w:ascii="Times New Roman" w:eastAsia="Times New Roman" w:hAnsi="Times New Roman" w:cs="Times New Roman"/>
          <w:sz w:val="24"/>
          <w:szCs w:val="24"/>
        </w:rPr>
        <w:t xml:space="preserve">§ </w:t>
      </w:r>
      <w:r w:rsidR="00260A9C">
        <w:rPr>
          <w:rFonts w:ascii="Times New Roman" w:eastAsia="Times New Roman" w:hAnsi="Times New Roman" w:cs="Times New Roman"/>
          <w:sz w:val="24"/>
          <w:szCs w:val="24"/>
        </w:rPr>
        <w:t>24.25</w:t>
      </w:r>
      <w:r w:rsidR="00260A9C" w:rsidRPr="00A95AA6">
        <w:rPr>
          <w:rFonts w:ascii="Times New Roman" w:eastAsia="Times New Roman" w:hAnsi="Times New Roman" w:cs="Times New Roman"/>
          <w:sz w:val="24"/>
          <w:szCs w:val="24"/>
        </w:rPr>
        <w:t>(</w:t>
      </w:r>
      <w:r w:rsidR="00260A9C">
        <w:rPr>
          <w:rFonts w:ascii="Times New Roman" w:eastAsia="Times New Roman" w:hAnsi="Times New Roman" w:cs="Times New Roman"/>
          <w:sz w:val="24"/>
          <w:szCs w:val="24"/>
        </w:rPr>
        <w:t>h)</w:t>
      </w:r>
      <w:r w:rsidR="000C1982">
        <w:rPr>
          <w:rFonts w:ascii="Times New Roman" w:eastAsia="Times New Roman" w:hAnsi="Times New Roman" w:cs="Times New Roman"/>
          <w:sz w:val="24"/>
          <w:szCs w:val="24"/>
        </w:rPr>
        <w:t xml:space="preserve">. For example, the tariff Monarch </w:t>
      </w:r>
      <w:r w:rsidR="000C1982">
        <w:rPr>
          <w:rFonts w:ascii="Times New Roman" w:eastAsia="Times New Roman" w:hAnsi="Times New Roman" w:cs="Times New Roman"/>
          <w:sz w:val="24"/>
          <w:szCs w:val="24"/>
        </w:rPr>
        <w:lastRenderedPageBreak/>
        <w:t>provided in its response to Mr. Hawkins’ complaint was approved in Tariff Control No. 48329.</w:t>
      </w:r>
      <w:r w:rsidR="000C1982">
        <w:rPr>
          <w:rStyle w:val="FootnoteReference"/>
          <w:rFonts w:ascii="Times New Roman" w:eastAsia="Times New Roman" w:hAnsi="Times New Roman" w:cs="Times New Roman"/>
          <w:szCs w:val="24"/>
        </w:rPr>
        <w:footnoteReference w:id="16"/>
      </w:r>
      <w:r w:rsidR="00260A9C">
        <w:rPr>
          <w:rFonts w:ascii="Times New Roman" w:eastAsia="Times New Roman" w:hAnsi="Times New Roman" w:cs="Times New Roman"/>
          <w:sz w:val="24"/>
          <w:szCs w:val="24"/>
        </w:rPr>
        <w:t xml:space="preserve">  In that docket, Monarch sought approval of a Federal Tax Change Credit Rider in compliance with the accounting orders issued in P</w:t>
      </w:r>
      <w:r w:rsidR="00260A9C" w:rsidRPr="00260A9C">
        <w:rPr>
          <w:rFonts w:ascii="Times New Roman" w:eastAsia="Times New Roman" w:hAnsi="Times New Roman" w:cs="Times New Roman"/>
          <w:sz w:val="24"/>
          <w:szCs w:val="24"/>
        </w:rPr>
        <w:t>roject No. 47945</w:t>
      </w:r>
      <w:r w:rsidR="00260A9C">
        <w:rPr>
          <w:rFonts w:ascii="Times New Roman" w:eastAsia="Times New Roman" w:hAnsi="Times New Roman" w:cs="Times New Roman"/>
          <w:sz w:val="24"/>
          <w:szCs w:val="24"/>
        </w:rPr>
        <w:t>.</w:t>
      </w:r>
      <w:r w:rsidR="00260A9C">
        <w:rPr>
          <w:rStyle w:val="FootnoteReference"/>
          <w:rFonts w:ascii="Times New Roman" w:eastAsia="Times New Roman" w:hAnsi="Times New Roman" w:cs="Times New Roman"/>
          <w:szCs w:val="24"/>
        </w:rPr>
        <w:footnoteReference w:id="17"/>
      </w:r>
      <w:r w:rsidR="00260A9C">
        <w:rPr>
          <w:rFonts w:ascii="Times New Roman" w:eastAsia="Times New Roman" w:hAnsi="Times New Roman" w:cs="Times New Roman"/>
          <w:sz w:val="24"/>
          <w:szCs w:val="24"/>
        </w:rPr>
        <w:t xml:space="preserve"> The tariff approved by the Commission included the </w:t>
      </w:r>
      <w:r w:rsidR="003931AD">
        <w:rPr>
          <w:rFonts w:ascii="Times New Roman" w:eastAsia="Times New Roman" w:hAnsi="Times New Roman" w:cs="Times New Roman"/>
          <w:sz w:val="24"/>
          <w:szCs w:val="24"/>
        </w:rPr>
        <w:t xml:space="preserve">language that is </w:t>
      </w:r>
      <w:r w:rsidR="00260A9C">
        <w:rPr>
          <w:rFonts w:ascii="Times New Roman" w:eastAsia="Times New Roman" w:hAnsi="Times New Roman" w:cs="Times New Roman"/>
          <w:sz w:val="24"/>
          <w:szCs w:val="24"/>
        </w:rPr>
        <w:t xml:space="preserve"> subject of this brief; however, the </w:t>
      </w:r>
      <w:r w:rsidR="003931AD">
        <w:rPr>
          <w:rFonts w:ascii="Times New Roman" w:eastAsia="Times New Roman" w:hAnsi="Times New Roman" w:cs="Times New Roman"/>
          <w:sz w:val="24"/>
          <w:szCs w:val="24"/>
        </w:rPr>
        <w:t xml:space="preserve">Federal Tax Change Credit Rider </w:t>
      </w:r>
      <w:r w:rsidR="00260A9C">
        <w:rPr>
          <w:rFonts w:ascii="Times New Roman" w:eastAsia="Times New Roman" w:hAnsi="Times New Roman" w:cs="Times New Roman"/>
          <w:sz w:val="24"/>
          <w:szCs w:val="24"/>
        </w:rPr>
        <w:t xml:space="preserve">at issue in Docket No. 48329 was on a completely separate page of the tariff (page </w:t>
      </w:r>
      <w:r w:rsidR="003931AD">
        <w:rPr>
          <w:rFonts w:ascii="Times New Roman" w:eastAsia="Times New Roman" w:hAnsi="Times New Roman" w:cs="Times New Roman"/>
          <w:sz w:val="24"/>
          <w:szCs w:val="24"/>
        </w:rPr>
        <w:t>2</w:t>
      </w:r>
      <w:r w:rsidR="00260A9C">
        <w:rPr>
          <w:rFonts w:ascii="Times New Roman" w:eastAsia="Times New Roman" w:hAnsi="Times New Roman" w:cs="Times New Roman"/>
          <w:sz w:val="24"/>
          <w:szCs w:val="24"/>
        </w:rPr>
        <w:t xml:space="preserve">) than the </w:t>
      </w:r>
      <w:r w:rsidR="003931AD">
        <w:rPr>
          <w:rFonts w:ascii="Times New Roman" w:eastAsia="Times New Roman" w:hAnsi="Times New Roman" w:cs="Times New Roman"/>
          <w:sz w:val="24"/>
          <w:szCs w:val="24"/>
        </w:rPr>
        <w:t xml:space="preserve">purchased water pass-through provision </w:t>
      </w:r>
      <w:r w:rsidR="00260A9C">
        <w:rPr>
          <w:rFonts w:ascii="Times New Roman" w:eastAsia="Times New Roman" w:hAnsi="Times New Roman" w:cs="Times New Roman"/>
          <w:sz w:val="24"/>
          <w:szCs w:val="24"/>
        </w:rPr>
        <w:t xml:space="preserve">(page </w:t>
      </w:r>
      <w:r w:rsidR="003931AD">
        <w:rPr>
          <w:rFonts w:ascii="Times New Roman" w:eastAsia="Times New Roman" w:hAnsi="Times New Roman" w:cs="Times New Roman"/>
          <w:sz w:val="24"/>
          <w:szCs w:val="24"/>
        </w:rPr>
        <w:t>4</w:t>
      </w:r>
      <w:r w:rsidR="00260A9C">
        <w:rPr>
          <w:rFonts w:ascii="Times New Roman" w:eastAsia="Times New Roman" w:hAnsi="Times New Roman" w:cs="Times New Roman"/>
          <w:sz w:val="24"/>
          <w:szCs w:val="24"/>
        </w:rPr>
        <w:t>)</w:t>
      </w:r>
      <w:r w:rsidR="003931AD">
        <w:rPr>
          <w:rFonts w:ascii="Times New Roman" w:eastAsia="Times New Roman" w:hAnsi="Times New Roman" w:cs="Times New Roman"/>
          <w:sz w:val="24"/>
          <w:szCs w:val="24"/>
        </w:rPr>
        <w:t>.</w:t>
      </w:r>
      <w:r w:rsidR="00260A9C">
        <w:rPr>
          <w:rStyle w:val="FootnoteReference"/>
          <w:rFonts w:ascii="Times New Roman" w:eastAsia="Times New Roman" w:hAnsi="Times New Roman" w:cs="Times New Roman"/>
          <w:szCs w:val="24"/>
        </w:rPr>
        <w:footnoteReference w:id="18"/>
      </w:r>
      <w:r w:rsidR="003931AD">
        <w:rPr>
          <w:rFonts w:ascii="Times New Roman" w:eastAsia="Times New Roman" w:hAnsi="Times New Roman" w:cs="Times New Roman"/>
          <w:sz w:val="24"/>
          <w:szCs w:val="24"/>
        </w:rPr>
        <w:t xml:space="preserve">  Further, no part of the Commission’s review of the application in Docket No. 48329 involved questions of law or fact related to a pass-through rate</w:t>
      </w:r>
      <w:r w:rsidR="00966F13">
        <w:rPr>
          <w:rFonts w:ascii="Times New Roman" w:eastAsia="Times New Roman" w:hAnsi="Times New Roman" w:cs="Times New Roman"/>
          <w:sz w:val="24"/>
          <w:szCs w:val="24"/>
        </w:rPr>
        <w:t xml:space="preserve"> to recover the costs of purchased water or fees like groundwater conservation district fees</w:t>
      </w:r>
      <w:r w:rsidR="003931AD">
        <w:rPr>
          <w:rFonts w:ascii="Times New Roman" w:eastAsia="Times New Roman" w:hAnsi="Times New Roman" w:cs="Times New Roman"/>
          <w:sz w:val="24"/>
          <w:szCs w:val="24"/>
        </w:rPr>
        <w:t xml:space="preserve">.  </w:t>
      </w:r>
    </w:p>
    <w:p w14:paraId="5C80E4C0" w14:textId="390B5B01" w:rsidR="000969DA" w:rsidRPr="00A95AA6" w:rsidRDefault="003931AD">
      <w:pPr>
        <w:spacing w:after="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w:t>
      </w:r>
      <w:r w:rsidR="000850B6">
        <w:rPr>
          <w:rFonts w:ascii="Times New Roman" w:eastAsia="Times New Roman" w:hAnsi="Times New Roman" w:cs="Times New Roman"/>
          <w:sz w:val="24"/>
          <w:szCs w:val="24"/>
        </w:rPr>
        <w:t>us</w:t>
      </w:r>
      <w:r>
        <w:rPr>
          <w:rFonts w:ascii="Times New Roman" w:eastAsia="Times New Roman" w:hAnsi="Times New Roman" w:cs="Times New Roman"/>
          <w:sz w:val="24"/>
          <w:szCs w:val="24"/>
        </w:rPr>
        <w:t xml:space="preserve">, it is reasonable to look at the type of docket in which a tariff provision was approved in order to determine if Commission approval of the tariff constitutes an exception to the effective date provision in 16 TAC </w:t>
      </w:r>
      <w:r w:rsidRPr="00A95AA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24.25</w:t>
      </w:r>
      <w:r w:rsidRPr="00A95AA6">
        <w:rPr>
          <w:rFonts w:ascii="Times New Roman" w:eastAsia="Times New Roman" w:hAnsi="Times New Roman" w:cs="Times New Roman"/>
          <w:sz w:val="24"/>
          <w:szCs w:val="24"/>
        </w:rPr>
        <w:t>(</w:t>
      </w:r>
      <w:r>
        <w:rPr>
          <w:rFonts w:ascii="Times New Roman" w:eastAsia="Times New Roman" w:hAnsi="Times New Roman" w:cs="Times New Roman"/>
          <w:sz w:val="24"/>
          <w:szCs w:val="24"/>
        </w:rPr>
        <w:t>h). If the tariff provision was approved in a docket where t</w:t>
      </w:r>
      <w:r w:rsidR="000850B6">
        <w:rPr>
          <w:rFonts w:ascii="Times New Roman" w:eastAsia="Times New Roman" w:hAnsi="Times New Roman" w:cs="Times New Roman"/>
          <w:sz w:val="24"/>
          <w:szCs w:val="24"/>
        </w:rPr>
        <w:t>he Commission’s review was directly related to the subject of the tariff language, then it is reasonable to treat approval of the tariff as an exception.  When a</w:t>
      </w:r>
      <w:r>
        <w:rPr>
          <w:rFonts w:ascii="Times New Roman" w:eastAsia="Times New Roman" w:hAnsi="Times New Roman" w:cs="Times New Roman"/>
          <w:sz w:val="24"/>
          <w:szCs w:val="24"/>
        </w:rPr>
        <w:t>pplied to the facts of this case, the only time Commission approval of</w:t>
      </w:r>
      <w:r w:rsidR="000850B6">
        <w:rPr>
          <w:rFonts w:ascii="Times New Roman" w:eastAsia="Times New Roman" w:hAnsi="Times New Roman" w:cs="Times New Roman"/>
          <w:sz w:val="24"/>
          <w:szCs w:val="24"/>
        </w:rPr>
        <w:t xml:space="preserve"> Monarch’s tariff would constitute an exception to 16 TAC </w:t>
      </w:r>
      <w:r w:rsidR="000850B6" w:rsidRPr="00A95AA6">
        <w:rPr>
          <w:rFonts w:ascii="Times New Roman" w:eastAsia="Times New Roman" w:hAnsi="Times New Roman" w:cs="Times New Roman"/>
          <w:sz w:val="24"/>
          <w:szCs w:val="24"/>
        </w:rPr>
        <w:t xml:space="preserve">§ </w:t>
      </w:r>
      <w:r w:rsidR="000850B6">
        <w:rPr>
          <w:rFonts w:ascii="Times New Roman" w:eastAsia="Times New Roman" w:hAnsi="Times New Roman" w:cs="Times New Roman"/>
          <w:sz w:val="24"/>
          <w:szCs w:val="24"/>
        </w:rPr>
        <w:t>24.25</w:t>
      </w:r>
      <w:r w:rsidR="000850B6" w:rsidRPr="00A95AA6">
        <w:rPr>
          <w:rFonts w:ascii="Times New Roman" w:eastAsia="Times New Roman" w:hAnsi="Times New Roman" w:cs="Times New Roman"/>
          <w:sz w:val="24"/>
          <w:szCs w:val="24"/>
        </w:rPr>
        <w:t>(</w:t>
      </w:r>
      <w:r w:rsidR="000850B6">
        <w:rPr>
          <w:rFonts w:ascii="Times New Roman" w:eastAsia="Times New Roman" w:hAnsi="Times New Roman" w:cs="Times New Roman"/>
          <w:sz w:val="24"/>
          <w:szCs w:val="24"/>
        </w:rPr>
        <w:t xml:space="preserve">h) would be in a proceeding to implement or revise a pass-through provision.  Because this is the first time Monarch has applied to implement the pass-through provision at issue in this case, Staff does not believe that there has been a proceeding before this Commission where approval of Monarch’s tariff would qualify as an exception to 16 TAC </w:t>
      </w:r>
      <w:r w:rsidR="000850B6" w:rsidRPr="00A95AA6">
        <w:rPr>
          <w:rFonts w:ascii="Times New Roman" w:eastAsia="Times New Roman" w:hAnsi="Times New Roman" w:cs="Times New Roman"/>
          <w:sz w:val="24"/>
          <w:szCs w:val="24"/>
        </w:rPr>
        <w:t xml:space="preserve">§ </w:t>
      </w:r>
      <w:r w:rsidR="000850B6">
        <w:rPr>
          <w:rFonts w:ascii="Times New Roman" w:eastAsia="Times New Roman" w:hAnsi="Times New Roman" w:cs="Times New Roman"/>
          <w:sz w:val="24"/>
          <w:szCs w:val="24"/>
        </w:rPr>
        <w:t>24.25</w:t>
      </w:r>
      <w:r w:rsidR="000850B6" w:rsidRPr="00A95AA6">
        <w:rPr>
          <w:rFonts w:ascii="Times New Roman" w:eastAsia="Times New Roman" w:hAnsi="Times New Roman" w:cs="Times New Roman"/>
          <w:sz w:val="24"/>
          <w:szCs w:val="24"/>
        </w:rPr>
        <w:t>(</w:t>
      </w:r>
      <w:r w:rsidR="000850B6">
        <w:rPr>
          <w:rFonts w:ascii="Times New Roman" w:eastAsia="Times New Roman" w:hAnsi="Times New Roman" w:cs="Times New Roman"/>
          <w:sz w:val="24"/>
          <w:szCs w:val="24"/>
        </w:rPr>
        <w:t>h) under the “unless otherwise specified</w:t>
      </w:r>
      <w:r w:rsidR="00966F13">
        <w:rPr>
          <w:rFonts w:ascii="Times New Roman" w:eastAsia="Times New Roman" w:hAnsi="Times New Roman" w:cs="Times New Roman"/>
          <w:sz w:val="24"/>
          <w:szCs w:val="24"/>
        </w:rPr>
        <w:t>” provision.</w:t>
      </w:r>
      <w:r w:rsidR="000850B6">
        <w:rPr>
          <w:rFonts w:ascii="Times New Roman" w:eastAsia="Times New Roman" w:hAnsi="Times New Roman" w:cs="Times New Roman"/>
          <w:sz w:val="24"/>
          <w:szCs w:val="24"/>
        </w:rPr>
        <w:t xml:space="preserve"> </w:t>
      </w:r>
    </w:p>
    <w:p w14:paraId="07603712" w14:textId="77777777" w:rsidR="000969DA" w:rsidRPr="00A95AA6" w:rsidRDefault="000969DA" w:rsidP="008B6CB7">
      <w:pPr>
        <w:spacing w:after="0" w:line="360" w:lineRule="auto"/>
        <w:jc w:val="both"/>
        <w:rPr>
          <w:rFonts w:ascii="Times New Roman" w:eastAsia="Times New Roman" w:hAnsi="Times New Roman" w:cs="Times New Roman"/>
          <w:sz w:val="24"/>
          <w:szCs w:val="24"/>
        </w:rPr>
      </w:pPr>
    </w:p>
    <w:p w14:paraId="6BC7E76A" w14:textId="77777777" w:rsidR="00A46429" w:rsidRPr="00A95AA6" w:rsidRDefault="00A46429" w:rsidP="00A46429">
      <w:pPr>
        <w:pStyle w:val="ListParagraph"/>
        <w:numPr>
          <w:ilvl w:val="0"/>
          <w:numId w:val="3"/>
        </w:numPr>
        <w:spacing w:after="0" w:line="240" w:lineRule="auto"/>
        <w:jc w:val="both"/>
        <w:rPr>
          <w:rFonts w:ascii="Times New Roman" w:eastAsia="Times New Roman" w:hAnsi="Times New Roman" w:cs="Times New Roman"/>
          <w:b/>
          <w:sz w:val="24"/>
          <w:szCs w:val="24"/>
        </w:rPr>
      </w:pPr>
      <w:r w:rsidRPr="00A95AA6">
        <w:rPr>
          <w:rFonts w:ascii="Times New Roman" w:eastAsia="Times New Roman" w:hAnsi="Times New Roman" w:cs="Times New Roman"/>
          <w:b/>
          <w:sz w:val="24"/>
          <w:szCs w:val="24"/>
        </w:rPr>
        <w:t>Does any other language in Monarch's current tariff constitute such authorization? In answering this issue, please identify any such language.</w:t>
      </w:r>
    </w:p>
    <w:p w14:paraId="462BFE4F" w14:textId="77777777" w:rsidR="005A78AE" w:rsidRPr="00A95AA6" w:rsidRDefault="005A78AE" w:rsidP="005A78AE">
      <w:pPr>
        <w:pStyle w:val="ListParagraph"/>
        <w:spacing w:after="0" w:line="240" w:lineRule="auto"/>
        <w:jc w:val="both"/>
        <w:rPr>
          <w:rFonts w:ascii="Times New Roman" w:eastAsia="Times New Roman" w:hAnsi="Times New Roman" w:cs="Times New Roman"/>
          <w:b/>
          <w:sz w:val="24"/>
          <w:szCs w:val="24"/>
        </w:rPr>
      </w:pPr>
    </w:p>
    <w:p w14:paraId="20C7F2F2" w14:textId="7E1375D6" w:rsidR="00E113F5" w:rsidRPr="00A95AA6" w:rsidRDefault="008B6CB7" w:rsidP="00583338">
      <w:pPr>
        <w:spacing w:after="0" w:line="360" w:lineRule="auto"/>
        <w:ind w:firstLine="720"/>
        <w:jc w:val="both"/>
        <w:rPr>
          <w:rFonts w:ascii="Times New Roman" w:eastAsia="Times New Roman" w:hAnsi="Times New Roman" w:cs="Times New Roman"/>
          <w:sz w:val="24"/>
          <w:szCs w:val="24"/>
        </w:rPr>
      </w:pPr>
      <w:r w:rsidRPr="00A95AA6">
        <w:rPr>
          <w:rFonts w:ascii="Times New Roman" w:eastAsia="Times New Roman" w:hAnsi="Times New Roman" w:cs="Times New Roman"/>
          <w:sz w:val="24"/>
          <w:szCs w:val="24"/>
        </w:rPr>
        <w:t>No other language in Monarch’s current tariff constitutes authorization to begin charging rates without Commission approval.</w:t>
      </w:r>
    </w:p>
    <w:p w14:paraId="72E13A45" w14:textId="77777777" w:rsidR="00DF4ADB" w:rsidRPr="00A95AA6" w:rsidRDefault="00DF4ADB" w:rsidP="00DF4ADB">
      <w:pPr>
        <w:pStyle w:val="ListParagraph"/>
        <w:spacing w:after="0" w:line="360" w:lineRule="auto"/>
        <w:rPr>
          <w:rFonts w:ascii="Times New Roman" w:eastAsia="Times New Roman" w:hAnsi="Times New Roman" w:cs="Times New Roman"/>
          <w:b/>
          <w:sz w:val="24"/>
          <w:szCs w:val="24"/>
        </w:rPr>
      </w:pPr>
    </w:p>
    <w:p w14:paraId="45855483" w14:textId="280B222F" w:rsidR="0001256F" w:rsidRPr="00A95AA6" w:rsidRDefault="00A95AA6" w:rsidP="007A12FE">
      <w:pPr>
        <w:pStyle w:val="Heading1"/>
      </w:pPr>
      <w:r w:rsidRPr="00A95AA6">
        <w:lastRenderedPageBreak/>
        <w:t>CONCLUSION</w:t>
      </w:r>
    </w:p>
    <w:p w14:paraId="019E0BF3" w14:textId="62398193" w:rsidR="005E260C" w:rsidRDefault="00966F13" w:rsidP="000A3F38">
      <w:pPr>
        <w:spacing w:after="120" w:line="360" w:lineRule="auto"/>
        <w:ind w:firstLine="72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T</w:t>
      </w:r>
      <w:r w:rsidR="005E260C">
        <w:rPr>
          <w:rFonts w:ascii="Times New Roman" w:eastAsia="Times New Roman" w:hAnsi="Times New Roman" w:cs="Times New Roman"/>
          <w:sz w:val="24"/>
          <w:szCs w:val="24"/>
        </w:rPr>
        <w:t>he</w:t>
      </w:r>
      <w:r w:rsidR="005E260C" w:rsidRPr="00A95AA6">
        <w:rPr>
          <w:rFonts w:ascii="Times New Roman" w:eastAsia="Times New Roman" w:hAnsi="Times New Roman" w:cs="Times New Roman"/>
          <w:sz w:val="24"/>
          <w:szCs w:val="24"/>
        </w:rPr>
        <w:t>language</w:t>
      </w:r>
      <w:proofErr w:type="spellEnd"/>
      <w:r w:rsidR="005E260C" w:rsidRPr="00A95AA6">
        <w:rPr>
          <w:rFonts w:ascii="Times New Roman" w:eastAsia="Times New Roman" w:hAnsi="Times New Roman" w:cs="Times New Roman"/>
          <w:sz w:val="24"/>
          <w:szCs w:val="24"/>
        </w:rPr>
        <w:t xml:space="preserve"> i</w:t>
      </w:r>
      <w:r w:rsidR="005E260C">
        <w:rPr>
          <w:rFonts w:ascii="Times New Roman" w:eastAsia="Times New Roman" w:hAnsi="Times New Roman" w:cs="Times New Roman"/>
          <w:sz w:val="24"/>
          <w:szCs w:val="24"/>
        </w:rPr>
        <w:t xml:space="preserve">n Monarch’s tariff </w:t>
      </w:r>
      <w:r>
        <w:rPr>
          <w:rFonts w:ascii="Times New Roman" w:eastAsia="Times New Roman" w:hAnsi="Times New Roman" w:cs="Times New Roman"/>
          <w:sz w:val="24"/>
          <w:szCs w:val="24"/>
        </w:rPr>
        <w:t xml:space="preserve">regarding </w:t>
      </w:r>
      <w:proofErr w:type="gramStart"/>
      <w:r>
        <w:rPr>
          <w:rFonts w:ascii="Times New Roman" w:eastAsia="Times New Roman" w:hAnsi="Times New Roman" w:cs="Times New Roman"/>
          <w:sz w:val="24"/>
          <w:szCs w:val="24"/>
        </w:rPr>
        <w:t xml:space="preserve">the </w:t>
      </w:r>
      <w:r w:rsidR="005E260C" w:rsidRPr="00A95AA6">
        <w:rPr>
          <w:rFonts w:ascii="Times New Roman" w:eastAsia="Times New Roman" w:hAnsi="Times New Roman" w:cs="Times New Roman"/>
          <w:sz w:val="24"/>
          <w:szCs w:val="24"/>
        </w:rPr>
        <w:t xml:space="preserve"> effective</w:t>
      </w:r>
      <w:proofErr w:type="gramEnd"/>
      <w:r w:rsidR="005E260C" w:rsidRPr="00A95AA6">
        <w:rPr>
          <w:rFonts w:ascii="Times New Roman" w:eastAsia="Times New Roman" w:hAnsi="Times New Roman" w:cs="Times New Roman"/>
          <w:sz w:val="24"/>
          <w:szCs w:val="24"/>
        </w:rPr>
        <w:t xml:space="preserve"> date of a pass-through charge </w:t>
      </w:r>
      <w:r>
        <w:rPr>
          <w:rFonts w:ascii="Times New Roman" w:eastAsia="Times New Roman" w:hAnsi="Times New Roman" w:cs="Times New Roman"/>
          <w:sz w:val="24"/>
          <w:szCs w:val="24"/>
        </w:rPr>
        <w:t xml:space="preserve">is contradictory. To resolve this contradiction, it is reasonable to apply the effective date provision of 16 TAC </w:t>
      </w:r>
      <w:r w:rsidRPr="00A95AA6">
        <w:rPr>
          <w:rFonts w:ascii="Times New Roman" w:eastAsia="Times New Roman" w:hAnsi="Times New Roman" w:cs="Times New Roman"/>
          <w:sz w:val="24"/>
          <w:szCs w:val="24"/>
        </w:rPr>
        <w:t>§ 24.25(h)</w:t>
      </w:r>
      <w:r w:rsidR="007C0E37">
        <w:rPr>
          <w:rFonts w:ascii="Times New Roman" w:eastAsia="Times New Roman" w:hAnsi="Times New Roman" w:cs="Times New Roman"/>
          <w:sz w:val="24"/>
          <w:szCs w:val="24"/>
        </w:rPr>
        <w:t xml:space="preserve"> because the tariff language regarding the effective date in the proposed notice is derived from </w:t>
      </w:r>
      <w:r w:rsidR="007C0E37" w:rsidRPr="00A95AA6">
        <w:rPr>
          <w:rFonts w:ascii="Times New Roman" w:eastAsia="Times New Roman" w:hAnsi="Times New Roman" w:cs="Times New Roman"/>
          <w:sz w:val="24"/>
          <w:szCs w:val="24"/>
        </w:rPr>
        <w:t xml:space="preserve">16 TAC § </w:t>
      </w:r>
      <w:r w:rsidR="007C0E37">
        <w:rPr>
          <w:rFonts w:ascii="Times New Roman" w:eastAsia="Times New Roman" w:hAnsi="Times New Roman" w:cs="Times New Roman"/>
          <w:sz w:val="24"/>
          <w:szCs w:val="24"/>
        </w:rPr>
        <w:t>24.25</w:t>
      </w:r>
      <w:r w:rsidR="007C0E37" w:rsidRPr="00A95AA6">
        <w:rPr>
          <w:rFonts w:ascii="Times New Roman" w:eastAsia="Times New Roman" w:hAnsi="Times New Roman" w:cs="Times New Roman"/>
          <w:sz w:val="24"/>
          <w:szCs w:val="24"/>
        </w:rPr>
        <w:t xml:space="preserve">(b)(2)(F), </w:t>
      </w:r>
      <w:r w:rsidR="007C0E37">
        <w:rPr>
          <w:rFonts w:ascii="Times New Roman" w:eastAsia="Times New Roman" w:hAnsi="Times New Roman" w:cs="Times New Roman"/>
          <w:sz w:val="24"/>
          <w:szCs w:val="24"/>
        </w:rPr>
        <w:t xml:space="preserve">and this rule does not directly address when a pass-through provision becomes effective. Although 16 TAC </w:t>
      </w:r>
      <w:r w:rsidR="007C0E37" w:rsidRPr="00A95AA6">
        <w:rPr>
          <w:rFonts w:ascii="Times New Roman" w:eastAsia="Times New Roman" w:hAnsi="Times New Roman" w:cs="Times New Roman"/>
          <w:sz w:val="24"/>
          <w:szCs w:val="24"/>
        </w:rPr>
        <w:t>§ 24.25(h)</w:t>
      </w:r>
      <w:r w:rsidR="007C0E37">
        <w:rPr>
          <w:rFonts w:ascii="Times New Roman" w:eastAsia="Times New Roman" w:hAnsi="Times New Roman" w:cs="Times New Roman"/>
          <w:sz w:val="24"/>
          <w:szCs w:val="24"/>
        </w:rPr>
        <w:t xml:space="preserve"> creates certain exceptions to the blanket rule that a tariff change is effective on the date approved by the Commission, none of those exceptions apply in this case. </w:t>
      </w:r>
      <w:r>
        <w:rPr>
          <w:rFonts w:ascii="Times New Roman" w:eastAsia="Times New Roman" w:hAnsi="Times New Roman" w:cs="Times New Roman"/>
          <w:sz w:val="24"/>
          <w:szCs w:val="24"/>
        </w:rPr>
        <w:t xml:space="preserve"> </w:t>
      </w:r>
    </w:p>
    <w:p w14:paraId="3D4CDE5D" w14:textId="22C5AD6F" w:rsidR="008B6CB7" w:rsidRPr="008B6CB7" w:rsidRDefault="008B6CB7" w:rsidP="008B6CB7">
      <w:pPr>
        <w:spacing w:after="0" w:line="360" w:lineRule="auto"/>
        <w:rPr>
          <w:rFonts w:ascii="Times New Roman" w:eastAsia="Times New Roman" w:hAnsi="Times New Roman" w:cs="Times New Roman"/>
          <w:b/>
          <w:bCs/>
          <w:sz w:val="24"/>
          <w:szCs w:val="20"/>
        </w:rPr>
      </w:pPr>
      <w:r w:rsidRPr="008B6CB7">
        <w:rPr>
          <w:rFonts w:ascii="Times New Roman" w:eastAsia="Times New Roman" w:hAnsi="Times New Roman" w:cs="Times New Roman"/>
          <w:b/>
          <w:bCs/>
          <w:sz w:val="24"/>
          <w:szCs w:val="20"/>
        </w:rPr>
        <w:t xml:space="preserve">Dated: March </w:t>
      </w:r>
      <w:r w:rsidRPr="00A95AA6">
        <w:rPr>
          <w:rFonts w:ascii="Times New Roman" w:eastAsia="Times New Roman" w:hAnsi="Times New Roman" w:cs="Times New Roman"/>
          <w:b/>
          <w:bCs/>
          <w:sz w:val="24"/>
          <w:szCs w:val="20"/>
        </w:rPr>
        <w:t>26</w:t>
      </w:r>
      <w:r w:rsidRPr="008B6CB7">
        <w:rPr>
          <w:rFonts w:ascii="Times New Roman" w:eastAsia="Times New Roman" w:hAnsi="Times New Roman" w:cs="Times New Roman"/>
          <w:b/>
          <w:bCs/>
          <w:sz w:val="24"/>
          <w:szCs w:val="20"/>
        </w:rPr>
        <w:t>, 2020</w:t>
      </w:r>
    </w:p>
    <w:p w14:paraId="48FB6BE1" w14:textId="77777777" w:rsidR="008B6CB7" w:rsidRPr="008B6CB7" w:rsidRDefault="008B6CB7" w:rsidP="008B6CB7">
      <w:pPr>
        <w:spacing w:after="0" w:line="360" w:lineRule="auto"/>
        <w:ind w:left="3600" w:firstLine="720"/>
        <w:rPr>
          <w:rFonts w:ascii="Times New Roman" w:eastAsia="Times New Roman" w:hAnsi="Times New Roman" w:cs="Times New Roman"/>
          <w:sz w:val="24"/>
          <w:szCs w:val="24"/>
        </w:rPr>
      </w:pPr>
      <w:r w:rsidRPr="008B6CB7">
        <w:rPr>
          <w:rFonts w:ascii="Times New Roman" w:eastAsia="Times New Roman" w:hAnsi="Times New Roman" w:cs="Times New Roman"/>
          <w:sz w:val="24"/>
          <w:szCs w:val="24"/>
        </w:rPr>
        <w:t>Respectfully submitted,</w:t>
      </w:r>
    </w:p>
    <w:p w14:paraId="70666543" w14:textId="77777777" w:rsidR="008B6CB7" w:rsidRPr="008B6CB7" w:rsidRDefault="008B6CB7" w:rsidP="008B6CB7">
      <w:pPr>
        <w:spacing w:after="0" w:line="240" w:lineRule="auto"/>
        <w:ind w:left="4320"/>
        <w:contextualSpacing/>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 xml:space="preserve">PUBLIC UTILITY COMMISSION OF TEXAS </w:t>
      </w:r>
    </w:p>
    <w:p w14:paraId="2347A2F8" w14:textId="77777777" w:rsidR="008B6CB7" w:rsidRPr="008B6CB7" w:rsidRDefault="008B6CB7" w:rsidP="008B6CB7">
      <w:pPr>
        <w:spacing w:after="0" w:line="240" w:lineRule="auto"/>
        <w:ind w:left="4320"/>
        <w:contextualSpacing/>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LEGAL DIVISION</w:t>
      </w:r>
    </w:p>
    <w:p w14:paraId="0E43BFAA" w14:textId="77777777" w:rsidR="008B6CB7" w:rsidRPr="008B6CB7" w:rsidRDefault="008B6CB7" w:rsidP="008B6CB7">
      <w:pPr>
        <w:spacing w:after="0" w:line="240" w:lineRule="auto"/>
        <w:rPr>
          <w:rFonts w:ascii="Times New Roman" w:eastAsia="Times New Roman" w:hAnsi="Times New Roman" w:cs="Times New Roman"/>
          <w:sz w:val="24"/>
          <w:szCs w:val="20"/>
        </w:rPr>
      </w:pPr>
    </w:p>
    <w:p w14:paraId="581C9FBE" w14:textId="77777777" w:rsidR="008B6CB7" w:rsidRPr="008B6CB7" w:rsidRDefault="008B6CB7" w:rsidP="008B6CB7">
      <w:pPr>
        <w:spacing w:after="0" w:line="240" w:lineRule="auto"/>
        <w:ind w:left="4320"/>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Rachelle Nicolette Robles</w:t>
      </w:r>
    </w:p>
    <w:p w14:paraId="5D2924B2" w14:textId="77777777" w:rsidR="008B6CB7" w:rsidRPr="008B6CB7" w:rsidRDefault="008B6CB7"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 xml:space="preserve">Division Director </w:t>
      </w:r>
    </w:p>
    <w:p w14:paraId="0E71B75B" w14:textId="77777777" w:rsidR="008B6CB7" w:rsidRPr="008B6CB7" w:rsidRDefault="008B6CB7" w:rsidP="008B6CB7">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3B93C6BF" w14:textId="77777777" w:rsidR="008B6CB7" w:rsidRPr="008B6CB7" w:rsidRDefault="008B6CB7" w:rsidP="008B6CB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2F3C5911" w14:textId="77777777" w:rsidR="008B6CB7" w:rsidRPr="008B6CB7" w:rsidRDefault="008B6CB7" w:rsidP="008B6CB7">
      <w:pPr>
        <w:keepNext/>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3931A62F"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__</w:t>
      </w:r>
      <w:r w:rsidRPr="008B6CB7">
        <w:rPr>
          <w:rFonts w:ascii="Times New Roman" w:eastAsia="Times New Roman" w:hAnsi="Times New Roman" w:cs="Times New Roman"/>
          <w:sz w:val="24"/>
          <w:szCs w:val="20"/>
          <w:u w:val="single"/>
        </w:rPr>
        <w:t>/s/ John Harrison</w:t>
      </w:r>
      <w:r w:rsidRPr="008B6CB7">
        <w:rPr>
          <w:rFonts w:ascii="Times New Roman" w:eastAsia="Times New Roman" w:hAnsi="Times New Roman" w:cs="Times New Roman"/>
          <w:sz w:val="24"/>
          <w:szCs w:val="20"/>
        </w:rPr>
        <w:t>______________</w:t>
      </w:r>
    </w:p>
    <w:p w14:paraId="40C13E14"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bookmarkStart w:id="0" w:name="_Hlk18478744"/>
      <w:r w:rsidRPr="008B6CB7">
        <w:rPr>
          <w:rFonts w:ascii="Times New Roman" w:eastAsia="Times New Roman" w:hAnsi="Times New Roman" w:cs="Times New Roman"/>
          <w:color w:val="000000"/>
          <w:sz w:val="24"/>
          <w:szCs w:val="20"/>
        </w:rPr>
        <w:t>John Harrison</w:t>
      </w:r>
      <w:bookmarkEnd w:id="0"/>
    </w:p>
    <w:p w14:paraId="50775969"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bookmarkStart w:id="1" w:name="_GoBack"/>
      <w:bookmarkEnd w:id="1"/>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State Bar No. 24097806</w:t>
      </w:r>
    </w:p>
    <w:p w14:paraId="0DADEA50"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1701 N. Congress Avenue</w:t>
      </w:r>
    </w:p>
    <w:p w14:paraId="6402B861"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P.O. Box 13326</w:t>
      </w:r>
    </w:p>
    <w:p w14:paraId="57685FB7"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Austin, Texas 78711-3326</w:t>
      </w:r>
    </w:p>
    <w:p w14:paraId="5A2CE0B2"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(512) 936-7277</w:t>
      </w:r>
    </w:p>
    <w:p w14:paraId="06B4F81D"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(512) 936-7268 (facsimile)</w:t>
      </w:r>
    </w:p>
    <w:p w14:paraId="679F3624"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John.Harrison@puc.texas.gov</w:t>
      </w:r>
    </w:p>
    <w:p w14:paraId="61ECF977" w14:textId="77777777" w:rsidR="008B6CB7" w:rsidRPr="008B6CB7" w:rsidRDefault="008B6CB7" w:rsidP="008B6CB7">
      <w:pPr>
        <w:spacing w:after="0" w:line="240" w:lineRule="auto"/>
        <w:jc w:val="both"/>
        <w:rPr>
          <w:rFonts w:ascii="Times New Roman" w:eastAsia="Times New Roman" w:hAnsi="Times New Roman" w:cs="Times New Roman"/>
          <w:sz w:val="24"/>
          <w:szCs w:val="24"/>
        </w:rPr>
      </w:pPr>
    </w:p>
    <w:p w14:paraId="5B2B23C5" w14:textId="77777777" w:rsidR="008B6CB7" w:rsidRPr="008B6CB7" w:rsidRDefault="008B6CB7" w:rsidP="008B6CB7">
      <w:pPr>
        <w:spacing w:after="0" w:line="240" w:lineRule="auto"/>
        <w:jc w:val="both"/>
        <w:rPr>
          <w:rFonts w:ascii="Times New Roman" w:eastAsia="Times New Roman" w:hAnsi="Times New Roman" w:cs="Times New Roman"/>
          <w:sz w:val="24"/>
          <w:szCs w:val="24"/>
        </w:rPr>
      </w:pPr>
    </w:p>
    <w:p w14:paraId="210818BB" w14:textId="77777777" w:rsidR="008B6CB7" w:rsidRPr="008B6CB7" w:rsidRDefault="008B6CB7" w:rsidP="008B6CB7">
      <w:pPr>
        <w:spacing w:after="0" w:line="240" w:lineRule="auto"/>
        <w:jc w:val="center"/>
        <w:rPr>
          <w:rFonts w:ascii="Times New Roman" w:eastAsia="Times New Roman" w:hAnsi="Times New Roman" w:cs="Times New Roman"/>
          <w:b/>
          <w:caps/>
          <w:sz w:val="28"/>
          <w:szCs w:val="28"/>
        </w:rPr>
      </w:pPr>
      <w:r w:rsidRPr="008B6CB7">
        <w:rPr>
          <w:rFonts w:ascii="Times New Roman" w:eastAsia="Times New Roman" w:hAnsi="Times New Roman" w:cs="Times New Roman"/>
          <w:b/>
          <w:sz w:val="24"/>
          <w:szCs w:val="28"/>
        </w:rPr>
        <w:t>DOCKET NO. 49386</w:t>
      </w:r>
    </w:p>
    <w:p w14:paraId="4EA98172" w14:textId="77777777" w:rsidR="008B6CB7" w:rsidRPr="008B6CB7" w:rsidRDefault="008B6CB7" w:rsidP="008B6CB7">
      <w:pPr>
        <w:spacing w:after="0" w:line="240" w:lineRule="auto"/>
        <w:jc w:val="center"/>
        <w:rPr>
          <w:rFonts w:ascii="Times New Roman" w:eastAsia="Times New Roman" w:hAnsi="Times New Roman" w:cs="Times New Roman"/>
          <w:b/>
          <w:caps/>
          <w:sz w:val="28"/>
          <w:szCs w:val="28"/>
        </w:rPr>
      </w:pPr>
    </w:p>
    <w:p w14:paraId="57D7BF24" w14:textId="77777777" w:rsidR="008B6CB7" w:rsidRPr="008B6CB7" w:rsidRDefault="008B6CB7" w:rsidP="008B6CB7">
      <w:pPr>
        <w:keepNext/>
        <w:spacing w:after="0" w:line="360" w:lineRule="auto"/>
        <w:jc w:val="center"/>
        <w:rPr>
          <w:rFonts w:ascii="Times New Roman" w:eastAsia="Times New Roman" w:hAnsi="Times New Roman" w:cs="Times New Roman"/>
          <w:b/>
          <w:sz w:val="24"/>
          <w:szCs w:val="24"/>
        </w:rPr>
      </w:pPr>
      <w:r w:rsidRPr="008B6CB7">
        <w:rPr>
          <w:rFonts w:ascii="Times New Roman" w:eastAsia="Times New Roman" w:hAnsi="Times New Roman" w:cs="Times New Roman"/>
          <w:b/>
          <w:sz w:val="24"/>
          <w:szCs w:val="24"/>
        </w:rPr>
        <w:t>CERTIFICATE OF SERVICE</w:t>
      </w:r>
    </w:p>
    <w:p w14:paraId="0ACCA1EC" w14:textId="2167B440" w:rsidR="008B6CB7" w:rsidRPr="008B6CB7" w:rsidRDefault="008B6CB7" w:rsidP="008B6CB7">
      <w:pPr>
        <w:keepNext/>
        <w:spacing w:after="0" w:line="360" w:lineRule="auto"/>
        <w:ind w:firstLine="720"/>
        <w:jc w:val="both"/>
        <w:rPr>
          <w:rFonts w:ascii="Times New Roman" w:eastAsia="Times New Roman" w:hAnsi="Times New Roman" w:cs="Times New Roman"/>
          <w:sz w:val="24"/>
          <w:szCs w:val="24"/>
        </w:rPr>
      </w:pPr>
      <w:r w:rsidRPr="008B6CB7">
        <w:rPr>
          <w:rFonts w:ascii="Times New Roman" w:eastAsia="Times New Roman" w:hAnsi="Times New Roman" w:cs="Times New Roman"/>
          <w:sz w:val="24"/>
          <w:szCs w:val="24"/>
        </w:rPr>
        <w:t>I certify that, unless otherwise ordered by the presiding officer, notice of the filing of this document was provided to all parties of record via electronic mail on March 2</w:t>
      </w:r>
      <w:r w:rsidRPr="00A95AA6">
        <w:rPr>
          <w:rFonts w:ascii="Times New Roman" w:eastAsia="Times New Roman" w:hAnsi="Times New Roman" w:cs="Times New Roman"/>
          <w:sz w:val="24"/>
          <w:szCs w:val="24"/>
        </w:rPr>
        <w:t>6</w:t>
      </w:r>
      <w:r w:rsidRPr="008B6CB7">
        <w:rPr>
          <w:rFonts w:ascii="Times New Roman" w:eastAsia="Times New Roman" w:hAnsi="Times New Roman" w:cs="Times New Roman"/>
          <w:sz w:val="24"/>
          <w:szCs w:val="24"/>
        </w:rPr>
        <w:t>, 2020, in accordance with the Order Suspending Rules, issued in Project No. 50664.</w:t>
      </w:r>
    </w:p>
    <w:p w14:paraId="676C860A" w14:textId="77777777" w:rsidR="008B6CB7" w:rsidRPr="008B6CB7" w:rsidRDefault="008B6CB7" w:rsidP="008B6CB7">
      <w:pPr>
        <w:keepNext/>
        <w:spacing w:after="0" w:line="360" w:lineRule="auto"/>
        <w:ind w:firstLine="720"/>
        <w:rPr>
          <w:rFonts w:ascii="Times New Roman" w:eastAsia="Times New Roman" w:hAnsi="Times New Roman" w:cs="Times New Roman"/>
          <w:sz w:val="24"/>
          <w:szCs w:val="24"/>
        </w:rPr>
      </w:pPr>
    </w:p>
    <w:p w14:paraId="495F2D63" w14:textId="77777777" w:rsidR="008B6CB7" w:rsidRPr="008B6CB7" w:rsidRDefault="008B6CB7" w:rsidP="008B6CB7">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rPr>
      </w:pP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r>
      <w:r w:rsidRPr="008B6CB7">
        <w:rPr>
          <w:rFonts w:ascii="Times New Roman" w:eastAsia="Times New Roman" w:hAnsi="Times New Roman" w:cs="Times New Roman"/>
          <w:sz w:val="24"/>
          <w:szCs w:val="20"/>
        </w:rPr>
        <w:tab/>
        <w:t>__</w:t>
      </w:r>
      <w:r w:rsidRPr="008B6CB7">
        <w:rPr>
          <w:rFonts w:ascii="Times New Roman" w:eastAsia="Times New Roman" w:hAnsi="Times New Roman" w:cs="Times New Roman"/>
          <w:sz w:val="24"/>
          <w:szCs w:val="20"/>
          <w:u w:val="single"/>
        </w:rPr>
        <w:t>/s/ John Harrison</w:t>
      </w:r>
      <w:r w:rsidRPr="008B6CB7">
        <w:rPr>
          <w:rFonts w:ascii="Times New Roman" w:eastAsia="Times New Roman" w:hAnsi="Times New Roman" w:cs="Times New Roman"/>
          <w:sz w:val="24"/>
          <w:szCs w:val="20"/>
        </w:rPr>
        <w:t>______________</w:t>
      </w:r>
    </w:p>
    <w:p w14:paraId="0D63CA96" w14:textId="0D38460D" w:rsidR="005D48FB" w:rsidRPr="005D48FB" w:rsidRDefault="008B6CB7" w:rsidP="000A3F38">
      <w:pPr>
        <w:spacing w:after="0" w:line="240" w:lineRule="auto"/>
        <w:ind w:left="4320"/>
        <w:rPr>
          <w:rFonts w:ascii="Times New Roman" w:hAnsi="Times New Roman" w:cs="Times New Roman"/>
        </w:rPr>
      </w:pPr>
      <w:r w:rsidRPr="008B6CB7">
        <w:rPr>
          <w:rFonts w:ascii="Times New Roman" w:eastAsia="Times New Roman" w:hAnsi="Times New Roman" w:cs="Times New Roman"/>
          <w:color w:val="000000"/>
          <w:sz w:val="24"/>
          <w:szCs w:val="20"/>
        </w:rPr>
        <w:t>John Harrison</w:t>
      </w:r>
    </w:p>
    <w:sectPr w:rsidR="005D48FB" w:rsidRPr="005D48FB" w:rsidSect="005D48FB">
      <w:footerReference w:type="even"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F987D" w14:textId="77777777" w:rsidR="00375749" w:rsidRDefault="00375749" w:rsidP="0001256F">
      <w:pPr>
        <w:spacing w:after="0" w:line="240" w:lineRule="auto"/>
      </w:pPr>
      <w:r>
        <w:separator/>
      </w:r>
    </w:p>
  </w:endnote>
  <w:endnote w:type="continuationSeparator" w:id="0">
    <w:p w14:paraId="643C2643" w14:textId="77777777" w:rsidR="00375749" w:rsidRDefault="00375749" w:rsidP="0001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91DBB" w14:textId="77777777" w:rsidR="000C4A34" w:rsidRDefault="0021114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5165824" w14:textId="77777777" w:rsidR="000C4A34" w:rsidRDefault="0037574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5248152"/>
      <w:docPartObj>
        <w:docPartGallery w:val="Page Numbers (Bottom of Page)"/>
        <w:docPartUnique/>
      </w:docPartObj>
    </w:sdtPr>
    <w:sdtEndPr>
      <w:rPr>
        <w:noProof/>
      </w:rPr>
    </w:sdtEndPr>
    <w:sdtContent>
      <w:p w14:paraId="12C1E99A" w14:textId="42419117" w:rsidR="005D48FB" w:rsidRDefault="005D48FB" w:rsidP="005D48FB">
        <w:pPr>
          <w:pStyle w:val="Footer"/>
          <w:jc w:val="center"/>
        </w:pPr>
        <w:r w:rsidRPr="005D48FB">
          <w:rPr>
            <w:rFonts w:ascii="Times New Roman" w:hAnsi="Times New Roman" w:cs="Times New Roman"/>
            <w:sz w:val="24"/>
            <w:szCs w:val="24"/>
          </w:rPr>
          <w:fldChar w:fldCharType="begin"/>
        </w:r>
        <w:r w:rsidRPr="005D48FB">
          <w:rPr>
            <w:rFonts w:ascii="Times New Roman" w:hAnsi="Times New Roman" w:cs="Times New Roman"/>
            <w:sz w:val="24"/>
            <w:szCs w:val="24"/>
          </w:rPr>
          <w:instrText xml:space="preserve"> PAGE   \* MERGEFORMAT </w:instrText>
        </w:r>
        <w:r w:rsidRPr="005D48FB">
          <w:rPr>
            <w:rFonts w:ascii="Times New Roman" w:hAnsi="Times New Roman" w:cs="Times New Roman"/>
            <w:sz w:val="24"/>
            <w:szCs w:val="24"/>
          </w:rPr>
          <w:fldChar w:fldCharType="separate"/>
        </w:r>
        <w:r w:rsidRPr="005D48FB">
          <w:rPr>
            <w:rFonts w:ascii="Times New Roman" w:hAnsi="Times New Roman" w:cs="Times New Roman"/>
            <w:noProof/>
            <w:sz w:val="24"/>
            <w:szCs w:val="24"/>
          </w:rPr>
          <w:t>2</w:t>
        </w:r>
        <w:r w:rsidRPr="005D48FB">
          <w:rPr>
            <w:rFonts w:ascii="Times New Roman" w:hAnsi="Times New Roman" w:cs="Times New Roman"/>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DBC18" w14:textId="77777777" w:rsidR="00375749" w:rsidRDefault="00375749" w:rsidP="0001256F">
      <w:pPr>
        <w:spacing w:after="0" w:line="240" w:lineRule="auto"/>
      </w:pPr>
      <w:r>
        <w:separator/>
      </w:r>
    </w:p>
  </w:footnote>
  <w:footnote w:type="continuationSeparator" w:id="0">
    <w:p w14:paraId="6FA5A813" w14:textId="77777777" w:rsidR="00375749" w:rsidRDefault="00375749" w:rsidP="0001256F">
      <w:pPr>
        <w:spacing w:after="0" w:line="240" w:lineRule="auto"/>
      </w:pPr>
      <w:r>
        <w:continuationSeparator/>
      </w:r>
    </w:p>
  </w:footnote>
  <w:footnote w:id="1">
    <w:p w14:paraId="440819EB" w14:textId="7B993EAF" w:rsidR="00A06C8E" w:rsidRDefault="00A06C8E" w:rsidP="00533BA2">
      <w:pPr>
        <w:pStyle w:val="FootnoteText"/>
        <w:spacing w:after="120"/>
      </w:pPr>
      <w:r>
        <w:tab/>
      </w:r>
      <w:r>
        <w:rPr>
          <w:rStyle w:val="FootnoteReference"/>
        </w:rPr>
        <w:footnoteRef/>
      </w:r>
      <w:r>
        <w:t xml:space="preserve"> Application of Monarch Utilities I, L.P. for a Pass Through Gallonage Charge, Tariff Control No. 49242 (pending).</w:t>
      </w:r>
    </w:p>
  </w:footnote>
  <w:footnote w:id="2">
    <w:p w14:paraId="2946BE32" w14:textId="42E40B0F" w:rsidR="002E068E" w:rsidRDefault="002E068E" w:rsidP="00533BA2">
      <w:pPr>
        <w:pStyle w:val="FootnoteText"/>
        <w:spacing w:after="120"/>
      </w:pPr>
      <w:r>
        <w:tab/>
      </w:r>
      <w:r>
        <w:rPr>
          <w:rStyle w:val="FootnoteReference"/>
        </w:rPr>
        <w:footnoteRef/>
      </w:r>
      <w:r>
        <w:t xml:space="preserve"> </w:t>
      </w:r>
      <w:r w:rsidR="009A18E3">
        <w:t xml:space="preserve">Docket 49732, AIS Item 18, </w:t>
      </w:r>
      <w:r>
        <w:t xml:space="preserve">Open Meeting </w:t>
      </w:r>
      <w:r w:rsidR="009A18E3">
        <w:t xml:space="preserve">Cover Sheet - </w:t>
      </w:r>
      <w:r>
        <w:t>March 12, 2020 – Agenda Item No. 1, Memorandum of Chairman Deann T. Walker at 000000003 (Mar. 11, 2020).</w:t>
      </w:r>
    </w:p>
  </w:footnote>
  <w:footnote w:id="3">
    <w:p w14:paraId="2EA90033" w14:textId="346CC387" w:rsidR="00CC02B8" w:rsidRDefault="00CC02B8">
      <w:pPr>
        <w:pStyle w:val="FootnoteText"/>
      </w:pPr>
      <w:r>
        <w:tab/>
      </w:r>
      <w:r>
        <w:rPr>
          <w:rStyle w:val="FootnoteReference"/>
        </w:rPr>
        <w:footnoteRef/>
      </w:r>
      <w:r>
        <w:t xml:space="preserve"> </w:t>
      </w:r>
      <w:r w:rsidRPr="00CC02B8">
        <w:rPr>
          <w:i/>
          <w:iCs/>
        </w:rPr>
        <w:t xml:space="preserve"> Id</w:t>
      </w:r>
      <w:r>
        <w:t>.</w:t>
      </w:r>
      <w:r w:rsidR="00920C48">
        <w:t xml:space="preserve"> </w:t>
      </w:r>
    </w:p>
  </w:footnote>
  <w:footnote w:id="4">
    <w:p w14:paraId="5F10B48D" w14:textId="4106B01E" w:rsidR="00902521" w:rsidRDefault="00A06C8E" w:rsidP="00B26F99">
      <w:pPr>
        <w:pStyle w:val="FootnoteText"/>
        <w:spacing w:after="120"/>
      </w:pPr>
      <w:r>
        <w:tab/>
      </w:r>
      <w:r w:rsidR="00902521">
        <w:rPr>
          <w:rStyle w:val="FootnoteReference"/>
        </w:rPr>
        <w:footnoteRef/>
      </w:r>
      <w:r w:rsidR="00902521">
        <w:t xml:space="preserve"> </w:t>
      </w:r>
      <w:r w:rsidR="00902521" w:rsidRPr="00902521">
        <w:t>Monarch's Response to Order No. 1</w:t>
      </w:r>
      <w:r w:rsidR="00902521">
        <w:t xml:space="preserve">, Exhibit A at 10 </w:t>
      </w:r>
      <w:r w:rsidR="00902521" w:rsidRPr="00902521">
        <w:t>(Aug. 6, 2019)</w:t>
      </w:r>
      <w:r w:rsidR="00902521">
        <w:t>.</w:t>
      </w:r>
    </w:p>
  </w:footnote>
  <w:footnote w:id="5">
    <w:p w14:paraId="522193E3" w14:textId="41509942" w:rsidR="009A1EF6" w:rsidRDefault="009A1EF6" w:rsidP="00CA11A0">
      <w:pPr>
        <w:pStyle w:val="FootnoteText"/>
        <w:spacing w:after="120"/>
      </w:pPr>
      <w:r>
        <w:tab/>
      </w:r>
      <w:r>
        <w:rPr>
          <w:rStyle w:val="FootnoteReference"/>
        </w:rPr>
        <w:footnoteRef/>
      </w:r>
      <w:r>
        <w:t xml:space="preserve"> </w:t>
      </w:r>
      <w:r w:rsidR="00B26F99">
        <w:t>Project No. 48371, Order Adopting Amendments to §§</w:t>
      </w:r>
      <w:r w:rsidR="00D44D2E">
        <w:t xml:space="preserve"> </w:t>
      </w:r>
      <w:r w:rsidR="00B26F99">
        <w:t xml:space="preserve">24.3, 24.8, 24.14, 24.21, 24.23, 24.31, 24.32, 24.34, 24.41, 24.44, 24.72, 24.73, 24.102, 24.109, 24.111, 24.114, 24.131, 24.150; Repeal of §§24.11, 24.22, 24.25, 24.26, 24.27, 24.28; and §§24.11, 24.22, 24.26, 24.28, 24.33, 24.36 as Approved at the August 14, 2015 Open Meeting at </w:t>
      </w:r>
      <w:r w:rsidR="00CA11A0">
        <w:t>139</w:t>
      </w:r>
      <w:r w:rsidR="00B26F99">
        <w:t xml:space="preserve"> (</w:t>
      </w:r>
      <w:r w:rsidR="005E260C">
        <w:t>Aug</w:t>
      </w:r>
      <w:r w:rsidR="005B5A3C">
        <w:t>.</w:t>
      </w:r>
      <w:r w:rsidR="005E260C">
        <w:t>t 24, 2015</w:t>
      </w:r>
      <w:r w:rsidR="00B26F99">
        <w:t>).</w:t>
      </w:r>
    </w:p>
  </w:footnote>
  <w:footnote w:id="6">
    <w:p w14:paraId="29A962F3" w14:textId="6EB3000F" w:rsidR="00B26F99" w:rsidRDefault="00B26F99" w:rsidP="00CA11A0">
      <w:pPr>
        <w:pStyle w:val="FootnoteText"/>
        <w:spacing w:after="120"/>
      </w:pPr>
      <w:r>
        <w:tab/>
      </w:r>
      <w:r>
        <w:rPr>
          <w:rStyle w:val="FootnoteReference"/>
        </w:rPr>
        <w:footnoteRef/>
      </w:r>
      <w:r>
        <w:t xml:space="preserve">  </w:t>
      </w:r>
      <w:r w:rsidR="00CA11A0" w:rsidRPr="00CA11A0">
        <w:rPr>
          <w:i/>
          <w:iCs/>
        </w:rPr>
        <w:t>Id</w:t>
      </w:r>
      <w:r w:rsidR="00CA11A0">
        <w:t xml:space="preserve">. </w:t>
      </w:r>
      <w:r>
        <w:t>at</w:t>
      </w:r>
      <w:r w:rsidR="00CA11A0">
        <w:t xml:space="preserve"> 38</w:t>
      </w:r>
      <w:r>
        <w:t>.</w:t>
      </w:r>
    </w:p>
  </w:footnote>
  <w:footnote w:id="7">
    <w:p w14:paraId="30A4458E" w14:textId="0C402B30" w:rsidR="00CA11A0" w:rsidRDefault="00CA11A0" w:rsidP="00CA11A0">
      <w:pPr>
        <w:pStyle w:val="FootnoteText"/>
        <w:spacing w:after="120"/>
      </w:pPr>
      <w:r>
        <w:tab/>
      </w:r>
      <w:r>
        <w:rPr>
          <w:rStyle w:val="FootnoteReference"/>
        </w:rPr>
        <w:footnoteRef/>
      </w:r>
      <w:r>
        <w:t xml:space="preserve">  </w:t>
      </w:r>
      <w:r w:rsidRPr="00CA11A0">
        <w:rPr>
          <w:i/>
          <w:iCs/>
        </w:rPr>
        <w:t>Id</w:t>
      </w:r>
      <w:r>
        <w:t xml:space="preserve">. at 139-40. </w:t>
      </w:r>
    </w:p>
  </w:footnote>
  <w:footnote w:id="8">
    <w:p w14:paraId="5D0393DE" w14:textId="3FE78506" w:rsidR="00CA11A0" w:rsidRDefault="00CA11A0" w:rsidP="00CA11A0">
      <w:pPr>
        <w:pStyle w:val="FootnoteText"/>
      </w:pPr>
      <w:r>
        <w:tab/>
      </w:r>
      <w:r>
        <w:rPr>
          <w:rStyle w:val="FootnoteReference"/>
        </w:rPr>
        <w:footnoteRef/>
      </w:r>
      <w:r>
        <w:t xml:space="preserve">  </w:t>
      </w:r>
      <w:r w:rsidRPr="00CA11A0">
        <w:rPr>
          <w:i/>
          <w:iCs/>
        </w:rPr>
        <w:t>Id</w:t>
      </w:r>
      <w:r>
        <w:t xml:space="preserve">. at 141. </w:t>
      </w:r>
    </w:p>
    <w:p w14:paraId="70506FE9" w14:textId="157A8CA6" w:rsidR="00CA11A0" w:rsidRDefault="00CA11A0" w:rsidP="00CA11A0">
      <w:pPr>
        <w:pStyle w:val="FootnoteText"/>
      </w:pPr>
    </w:p>
  </w:footnote>
  <w:footnote w:id="9">
    <w:p w14:paraId="3B70A323" w14:textId="7E4E490F" w:rsidR="00465EEE" w:rsidRDefault="00CA11A0" w:rsidP="00CA11A0">
      <w:pPr>
        <w:pStyle w:val="FootnoteText"/>
        <w:spacing w:after="120"/>
      </w:pPr>
      <w:r>
        <w:tab/>
      </w:r>
      <w:r w:rsidR="00465EEE">
        <w:rPr>
          <w:rStyle w:val="FootnoteReference"/>
        </w:rPr>
        <w:footnoteRef/>
      </w:r>
      <w:r w:rsidR="00465EEE">
        <w:t xml:space="preserve"> </w:t>
      </w:r>
      <w:r w:rsidRPr="00A9051C">
        <w:rPr>
          <w:i/>
          <w:iCs/>
        </w:rPr>
        <w:t xml:space="preserve"> </w:t>
      </w:r>
      <w:r w:rsidR="005B5A3C" w:rsidRPr="00A9051C">
        <w:rPr>
          <w:i/>
          <w:iCs/>
        </w:rPr>
        <w:t>PUC Rulemaking Proceeding to Amend Chapter 24 for Water/Sewer Pass Through Clauses and Surcharge Rules</w:t>
      </w:r>
      <w:r w:rsidR="005B5A3C">
        <w:t xml:space="preserve"> </w:t>
      </w:r>
      <w:r>
        <w:t>Project No. 45112</w:t>
      </w:r>
      <w:r w:rsidR="005B5A3C">
        <w:t>, Order Adopting Amendment to §24.21</w:t>
      </w:r>
      <w:r w:rsidR="006A7144">
        <w:t xml:space="preserve"> </w:t>
      </w:r>
      <w:r w:rsidR="005B5A3C">
        <w:t xml:space="preserve">as Approved at the November 10, 2016 Open Meeting at </w:t>
      </w:r>
      <w:r w:rsidR="006A7144">
        <w:t xml:space="preserve">26-28 </w:t>
      </w:r>
      <w:r w:rsidR="005B5A3C">
        <w:t>(Nov. 14, 2016)</w:t>
      </w:r>
      <w:r>
        <w:t>.</w:t>
      </w:r>
    </w:p>
  </w:footnote>
  <w:footnote w:id="10">
    <w:p w14:paraId="3ABCDE67" w14:textId="4C143FDC" w:rsidR="00CA11A0" w:rsidRPr="006A7144" w:rsidRDefault="00CA11A0" w:rsidP="00E85801">
      <w:pPr>
        <w:pStyle w:val="FootnoteText"/>
        <w:spacing w:after="120"/>
      </w:pPr>
      <w:r>
        <w:tab/>
      </w:r>
      <w:r>
        <w:rPr>
          <w:rStyle w:val="FootnoteReference"/>
        </w:rPr>
        <w:footnoteRef/>
      </w:r>
      <w:r>
        <w:t xml:space="preserve">  </w:t>
      </w:r>
      <w:r w:rsidR="005E260C">
        <w:rPr>
          <w:i/>
          <w:iCs/>
        </w:rPr>
        <w:t>Id.</w:t>
      </w:r>
      <w:r w:rsidR="006A7144">
        <w:t xml:space="preserve"> at 26.</w:t>
      </w:r>
    </w:p>
  </w:footnote>
  <w:footnote w:id="11">
    <w:p w14:paraId="0D75E6EA" w14:textId="3FE2AE51" w:rsidR="00E85801" w:rsidRPr="006A7144" w:rsidRDefault="00E85801" w:rsidP="00E85801">
      <w:pPr>
        <w:pStyle w:val="FootnoteText"/>
        <w:spacing w:after="120"/>
      </w:pPr>
      <w:r>
        <w:tab/>
      </w:r>
      <w:r>
        <w:rPr>
          <w:rStyle w:val="FootnoteReference"/>
        </w:rPr>
        <w:footnoteRef/>
      </w:r>
      <w:r>
        <w:t xml:space="preserve">  </w:t>
      </w:r>
      <w:r w:rsidR="005E260C">
        <w:rPr>
          <w:i/>
          <w:iCs/>
        </w:rPr>
        <w:t>Id.</w:t>
      </w:r>
      <w:r w:rsidR="006A7144">
        <w:t xml:space="preserve"> at 31.</w:t>
      </w:r>
    </w:p>
  </w:footnote>
  <w:footnote w:id="12">
    <w:p w14:paraId="0C313406" w14:textId="764639A1" w:rsidR="003F13AA" w:rsidRDefault="00CA11A0" w:rsidP="00E85801">
      <w:pPr>
        <w:pStyle w:val="FootnoteText"/>
        <w:spacing w:after="120"/>
      </w:pPr>
      <w:r>
        <w:tab/>
      </w:r>
      <w:r w:rsidR="003F13AA">
        <w:rPr>
          <w:rStyle w:val="FootnoteReference"/>
        </w:rPr>
        <w:footnoteRef/>
      </w:r>
      <w:r w:rsidR="003F13AA">
        <w:t xml:space="preserve"> </w:t>
      </w:r>
      <w:r w:rsidR="00E85801">
        <w:t xml:space="preserve"> </w:t>
      </w:r>
      <w:r w:rsidR="006A7144" w:rsidRPr="006A7144">
        <w:rPr>
          <w:i/>
          <w:iCs/>
        </w:rPr>
        <w:t xml:space="preserve">Amendments to 16 TAC </w:t>
      </w:r>
      <w:r w:rsidR="006A7144" w:rsidRPr="00A9051C">
        <w:rPr>
          <w:i/>
          <w:iCs/>
        </w:rPr>
        <w:t xml:space="preserve"> § 24.21 for a Pass</w:t>
      </w:r>
      <w:r w:rsidR="006A7144">
        <w:rPr>
          <w:i/>
          <w:iCs/>
        </w:rPr>
        <w:t xml:space="preserve"> </w:t>
      </w:r>
      <w:r w:rsidR="006A7144" w:rsidRPr="00A9051C">
        <w:rPr>
          <w:i/>
          <w:iCs/>
        </w:rPr>
        <w:t>Through Provision Formula and to Implement House Bill 1083 to Allow a Utility to Establish Reduced Water Utility Rates Funded by Donations for Elderly Customers Pursuant to TWC  § § 13.182 and 13.189</w:t>
      </w:r>
      <w:r w:rsidR="006A7144">
        <w:t xml:space="preserve">, </w:t>
      </w:r>
      <w:r w:rsidR="006A7144">
        <w:rPr>
          <w:i/>
          <w:iCs/>
        </w:rPr>
        <w:t xml:space="preserve"> </w:t>
      </w:r>
      <w:r w:rsidR="00E85801">
        <w:t>Project N</w:t>
      </w:r>
      <w:r w:rsidR="006A7144">
        <w:t>o</w:t>
      </w:r>
      <w:r w:rsidR="00E85801">
        <w:t>. 47303</w:t>
      </w:r>
      <w:r w:rsidR="006A7144">
        <w:t>, Order Adopting Amendment to  § 24.21 as Approved at the December 14, 2017 Open Meeting at 23-25 (Dec. 18, 2017)</w:t>
      </w:r>
      <w:r w:rsidR="00E85801">
        <w:t>.</w:t>
      </w:r>
    </w:p>
  </w:footnote>
  <w:footnote w:id="13">
    <w:p w14:paraId="48478C0A" w14:textId="6576C066" w:rsidR="001507B0" w:rsidRDefault="001507B0" w:rsidP="00CA11A0">
      <w:pPr>
        <w:pStyle w:val="FootnoteText"/>
        <w:spacing w:after="120"/>
      </w:pPr>
      <w:r>
        <w:tab/>
      </w:r>
      <w:r>
        <w:rPr>
          <w:rStyle w:val="FootnoteReference"/>
        </w:rPr>
        <w:footnoteRef/>
      </w:r>
      <w:r>
        <w:t xml:space="preserve"> 16 TAC </w:t>
      </w:r>
      <w:r w:rsidRPr="002205F5">
        <w:t>§ 24.25</w:t>
      </w:r>
      <w:r>
        <w:t>(b)(2)(F)(</w:t>
      </w:r>
      <w:proofErr w:type="spellStart"/>
      <w:r>
        <w:t>i</w:t>
      </w:r>
      <w:proofErr w:type="spellEnd"/>
      <w:r>
        <w:t>)-(ii).</w:t>
      </w:r>
    </w:p>
  </w:footnote>
  <w:footnote w:id="14">
    <w:p w14:paraId="69274B4F" w14:textId="73B848E2" w:rsidR="00205931" w:rsidRDefault="00205931" w:rsidP="00205931">
      <w:pPr>
        <w:pStyle w:val="FootnoteText"/>
        <w:spacing w:after="120"/>
      </w:pPr>
      <w:r>
        <w:tab/>
      </w:r>
      <w:r>
        <w:rPr>
          <w:rStyle w:val="FootnoteReference"/>
        </w:rPr>
        <w:footnoteRef/>
      </w:r>
      <w:r>
        <w:t xml:space="preserve">  One possible way to address this ambiguity would be to approve the requested pass-through rate as an interim rate effective on the date in the notice provided to customers and subject to refund or true-up once the </w:t>
      </w:r>
      <w:r w:rsidR="00B34476">
        <w:t>application receives final approval</w:t>
      </w:r>
      <w:r>
        <w:t xml:space="preserve">. </w:t>
      </w:r>
    </w:p>
  </w:footnote>
  <w:footnote w:id="15">
    <w:p w14:paraId="709AC83E" w14:textId="67B1B7D8" w:rsidR="00255A85" w:rsidRDefault="00255A85" w:rsidP="00533BA2">
      <w:pPr>
        <w:pStyle w:val="FootnoteText"/>
        <w:spacing w:after="120"/>
      </w:pPr>
      <w:r>
        <w:tab/>
      </w:r>
      <w:r>
        <w:rPr>
          <w:rStyle w:val="FootnoteReference"/>
        </w:rPr>
        <w:footnoteRef/>
      </w:r>
      <w:r>
        <w:t xml:space="preserve">  16 TAC  </w:t>
      </w:r>
      <w:r w:rsidRPr="002205F5">
        <w:t>§ 24.25</w:t>
      </w:r>
      <w:r>
        <w:t>(h).</w:t>
      </w:r>
    </w:p>
  </w:footnote>
  <w:footnote w:id="16">
    <w:p w14:paraId="1A3F0391" w14:textId="47CB7925" w:rsidR="000C1982" w:rsidRDefault="000C1982" w:rsidP="00533BA2">
      <w:pPr>
        <w:pStyle w:val="FootnoteText"/>
        <w:spacing w:after="120"/>
      </w:pPr>
      <w:r>
        <w:tab/>
      </w:r>
      <w:r>
        <w:rPr>
          <w:rStyle w:val="FootnoteReference"/>
        </w:rPr>
        <w:footnoteRef/>
      </w:r>
      <w:r>
        <w:t xml:space="preserve">  </w:t>
      </w:r>
      <w:r w:rsidRPr="000C1982">
        <w:rPr>
          <w:i/>
          <w:iCs/>
        </w:rPr>
        <w:t>Application of Monarch Utilities I, L.P. for a Minor Tariff Change to Implement a Federal Tax Change Credit Rider</w:t>
      </w:r>
      <w:r>
        <w:t>, Tariff Control No. 38329, Water and Sewer Tariffs Filed in Accordance with Final Order (Feb. 25, 2019).</w:t>
      </w:r>
    </w:p>
  </w:footnote>
  <w:footnote w:id="17">
    <w:p w14:paraId="5064F5D9" w14:textId="07439803" w:rsidR="00260A9C" w:rsidRDefault="00260A9C" w:rsidP="00533BA2">
      <w:pPr>
        <w:pStyle w:val="FootnoteText"/>
        <w:spacing w:after="120"/>
      </w:pPr>
      <w:r>
        <w:tab/>
      </w:r>
      <w:r>
        <w:rPr>
          <w:rStyle w:val="FootnoteReference"/>
        </w:rPr>
        <w:footnoteRef/>
      </w:r>
      <w:r>
        <w:t xml:space="preserve">  Proceeding to Investigate and Address the Effects of Tax Cuts and Jobs Act of 2017 on the Rates of Texas Investor Owned Utility Companies, Project No. 47945, Amended Order Related to Change in Federal Income Tax Rates (Feb. 15, 2018) and Second Order (Aug. 30, 2018).</w:t>
      </w:r>
    </w:p>
  </w:footnote>
  <w:footnote w:id="18">
    <w:p w14:paraId="7722A6EB" w14:textId="4AA6E025" w:rsidR="00260A9C" w:rsidRDefault="00260A9C" w:rsidP="00533BA2">
      <w:pPr>
        <w:pStyle w:val="FootnoteText"/>
        <w:spacing w:after="120"/>
      </w:pPr>
      <w:r>
        <w:tab/>
      </w:r>
      <w:r>
        <w:rPr>
          <w:rStyle w:val="FootnoteReference"/>
        </w:rPr>
        <w:footnoteRef/>
      </w:r>
      <w:r>
        <w:t xml:space="preserve"> </w:t>
      </w:r>
      <w:r w:rsidRPr="00902521">
        <w:t>Monarch's Response to Order No. 1</w:t>
      </w:r>
      <w:r>
        <w:t xml:space="preserve">, Exhibit A at </w:t>
      </w:r>
      <w:r w:rsidR="00966F13">
        <w:t xml:space="preserve">8, </w:t>
      </w:r>
      <w:r>
        <w:t xml:space="preserve">10 </w:t>
      </w:r>
      <w:r w:rsidRPr="00902521">
        <w:t>(Aug. 6, 2019)</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B7115"/>
    <w:multiLevelType w:val="hybridMultilevel"/>
    <w:tmpl w:val="2A542A06"/>
    <w:lvl w:ilvl="0" w:tplc="909C5EC2">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B20DA"/>
    <w:multiLevelType w:val="hybridMultilevel"/>
    <w:tmpl w:val="82BA9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51181E"/>
    <w:multiLevelType w:val="hybridMultilevel"/>
    <w:tmpl w:val="986AAF56"/>
    <w:lvl w:ilvl="0" w:tplc="AE4C4B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615ADE"/>
    <w:multiLevelType w:val="hybridMultilevel"/>
    <w:tmpl w:val="8F8C66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C739C7"/>
    <w:multiLevelType w:val="hybridMultilevel"/>
    <w:tmpl w:val="05C6DF26"/>
    <w:lvl w:ilvl="0" w:tplc="557E33EA">
      <w:start w:val="1"/>
      <w:numFmt w:val="upperRoman"/>
      <w:pStyle w:val="Heading1"/>
      <w:lvlText w:val="%1."/>
      <w:lvlJc w:val="righ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256F"/>
    <w:rsid w:val="00004BC3"/>
    <w:rsid w:val="0001256F"/>
    <w:rsid w:val="000638FC"/>
    <w:rsid w:val="000850B6"/>
    <w:rsid w:val="0009352B"/>
    <w:rsid w:val="000969DA"/>
    <w:rsid w:val="000A3F38"/>
    <w:rsid w:val="000C012E"/>
    <w:rsid w:val="000C1982"/>
    <w:rsid w:val="000C78AA"/>
    <w:rsid w:val="000F02B4"/>
    <w:rsid w:val="001012B3"/>
    <w:rsid w:val="00125FB6"/>
    <w:rsid w:val="00145FA0"/>
    <w:rsid w:val="001507B0"/>
    <w:rsid w:val="001D4DED"/>
    <w:rsid w:val="001E4D58"/>
    <w:rsid w:val="00205931"/>
    <w:rsid w:val="0021114C"/>
    <w:rsid w:val="002205F5"/>
    <w:rsid w:val="002241EE"/>
    <w:rsid w:val="00225E0D"/>
    <w:rsid w:val="00236D54"/>
    <w:rsid w:val="002474D2"/>
    <w:rsid w:val="00255A85"/>
    <w:rsid w:val="00260A9C"/>
    <w:rsid w:val="00276E1E"/>
    <w:rsid w:val="00295950"/>
    <w:rsid w:val="002B2E47"/>
    <w:rsid w:val="002B3693"/>
    <w:rsid w:val="002C7B6E"/>
    <w:rsid w:val="002D2C25"/>
    <w:rsid w:val="002E068E"/>
    <w:rsid w:val="002E239E"/>
    <w:rsid w:val="002F317D"/>
    <w:rsid w:val="003270CD"/>
    <w:rsid w:val="00357F77"/>
    <w:rsid w:val="0036280B"/>
    <w:rsid w:val="00375749"/>
    <w:rsid w:val="00383220"/>
    <w:rsid w:val="003931AD"/>
    <w:rsid w:val="003A4BD0"/>
    <w:rsid w:val="003B5905"/>
    <w:rsid w:val="003C0EB4"/>
    <w:rsid w:val="003F13AA"/>
    <w:rsid w:val="004007F5"/>
    <w:rsid w:val="00402887"/>
    <w:rsid w:val="00417246"/>
    <w:rsid w:val="00465EEE"/>
    <w:rsid w:val="004709BD"/>
    <w:rsid w:val="004D06F1"/>
    <w:rsid w:val="004F64C8"/>
    <w:rsid w:val="004F79C7"/>
    <w:rsid w:val="00507A3D"/>
    <w:rsid w:val="005308BD"/>
    <w:rsid w:val="00533BA2"/>
    <w:rsid w:val="00535737"/>
    <w:rsid w:val="0054350A"/>
    <w:rsid w:val="00583338"/>
    <w:rsid w:val="00587371"/>
    <w:rsid w:val="005A107A"/>
    <w:rsid w:val="005A78AE"/>
    <w:rsid w:val="005B5A3C"/>
    <w:rsid w:val="005B7DD2"/>
    <w:rsid w:val="005D48FB"/>
    <w:rsid w:val="005E260C"/>
    <w:rsid w:val="00600089"/>
    <w:rsid w:val="006151B9"/>
    <w:rsid w:val="006168AF"/>
    <w:rsid w:val="00626C2D"/>
    <w:rsid w:val="00627A1C"/>
    <w:rsid w:val="006347E5"/>
    <w:rsid w:val="006605CE"/>
    <w:rsid w:val="00695545"/>
    <w:rsid w:val="006A6AAE"/>
    <w:rsid w:val="006A7144"/>
    <w:rsid w:val="006D46AA"/>
    <w:rsid w:val="00707F2B"/>
    <w:rsid w:val="007249B3"/>
    <w:rsid w:val="0076289F"/>
    <w:rsid w:val="00767BEF"/>
    <w:rsid w:val="007936B4"/>
    <w:rsid w:val="007A12FE"/>
    <w:rsid w:val="007A5B80"/>
    <w:rsid w:val="007C0E37"/>
    <w:rsid w:val="007C59E4"/>
    <w:rsid w:val="007F4E63"/>
    <w:rsid w:val="00817596"/>
    <w:rsid w:val="00830492"/>
    <w:rsid w:val="008A51B0"/>
    <w:rsid w:val="008B6CB7"/>
    <w:rsid w:val="008D5DA1"/>
    <w:rsid w:val="009002FF"/>
    <w:rsid w:val="00902521"/>
    <w:rsid w:val="00920C48"/>
    <w:rsid w:val="00942E37"/>
    <w:rsid w:val="00966F13"/>
    <w:rsid w:val="009A18E3"/>
    <w:rsid w:val="009A1EF6"/>
    <w:rsid w:val="009F7E23"/>
    <w:rsid w:val="00A00842"/>
    <w:rsid w:val="00A06C8E"/>
    <w:rsid w:val="00A15196"/>
    <w:rsid w:val="00A324C5"/>
    <w:rsid w:val="00A46429"/>
    <w:rsid w:val="00A87234"/>
    <w:rsid w:val="00A9051C"/>
    <w:rsid w:val="00A95AA6"/>
    <w:rsid w:val="00AA1BCC"/>
    <w:rsid w:val="00AB174D"/>
    <w:rsid w:val="00AB3FFC"/>
    <w:rsid w:val="00AC761F"/>
    <w:rsid w:val="00B10B9D"/>
    <w:rsid w:val="00B17779"/>
    <w:rsid w:val="00B217F0"/>
    <w:rsid w:val="00B24D2E"/>
    <w:rsid w:val="00B26F99"/>
    <w:rsid w:val="00B339C9"/>
    <w:rsid w:val="00B34476"/>
    <w:rsid w:val="00B67D2F"/>
    <w:rsid w:val="00B70C84"/>
    <w:rsid w:val="00B7624C"/>
    <w:rsid w:val="00B8532C"/>
    <w:rsid w:val="00BA6BAC"/>
    <w:rsid w:val="00BD0301"/>
    <w:rsid w:val="00C00D05"/>
    <w:rsid w:val="00C12AE1"/>
    <w:rsid w:val="00C21997"/>
    <w:rsid w:val="00C34398"/>
    <w:rsid w:val="00C60438"/>
    <w:rsid w:val="00C6232E"/>
    <w:rsid w:val="00C92256"/>
    <w:rsid w:val="00CA11A0"/>
    <w:rsid w:val="00CA145B"/>
    <w:rsid w:val="00CA60AB"/>
    <w:rsid w:val="00CB0609"/>
    <w:rsid w:val="00CC02B8"/>
    <w:rsid w:val="00CD1AA9"/>
    <w:rsid w:val="00CE2C68"/>
    <w:rsid w:val="00D10289"/>
    <w:rsid w:val="00D37FE9"/>
    <w:rsid w:val="00D44D2E"/>
    <w:rsid w:val="00D6170B"/>
    <w:rsid w:val="00D62490"/>
    <w:rsid w:val="00D76D68"/>
    <w:rsid w:val="00D90533"/>
    <w:rsid w:val="00D973E9"/>
    <w:rsid w:val="00DB0934"/>
    <w:rsid w:val="00DF4ADB"/>
    <w:rsid w:val="00E107D9"/>
    <w:rsid w:val="00E113F5"/>
    <w:rsid w:val="00E23F21"/>
    <w:rsid w:val="00E404F5"/>
    <w:rsid w:val="00E43E7A"/>
    <w:rsid w:val="00E55D87"/>
    <w:rsid w:val="00E73E62"/>
    <w:rsid w:val="00E85801"/>
    <w:rsid w:val="00E9436B"/>
    <w:rsid w:val="00EA1DDD"/>
    <w:rsid w:val="00EA2102"/>
    <w:rsid w:val="00EA5CC5"/>
    <w:rsid w:val="00EB2314"/>
    <w:rsid w:val="00EC2813"/>
    <w:rsid w:val="00EE245C"/>
    <w:rsid w:val="00EE7332"/>
    <w:rsid w:val="00EF1F23"/>
    <w:rsid w:val="00F07523"/>
    <w:rsid w:val="00F23AB2"/>
    <w:rsid w:val="00F272F4"/>
    <w:rsid w:val="00F30338"/>
    <w:rsid w:val="00F44EC7"/>
    <w:rsid w:val="00F57A0E"/>
    <w:rsid w:val="00FC1070"/>
    <w:rsid w:val="00FD7C60"/>
    <w:rsid w:val="00FE7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7DA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256F"/>
  </w:style>
  <w:style w:type="paragraph" w:styleId="Heading1">
    <w:name w:val="heading 1"/>
    <w:basedOn w:val="Normal"/>
    <w:next w:val="Normal"/>
    <w:link w:val="Heading1Char"/>
    <w:qFormat/>
    <w:rsid w:val="008D5DA1"/>
    <w:pPr>
      <w:keepNext/>
      <w:numPr>
        <w:numId w:val="1"/>
      </w:numPr>
      <w:spacing w:after="120" w:line="240" w:lineRule="auto"/>
      <w:jc w:val="center"/>
      <w:outlineLvl w:val="0"/>
    </w:pPr>
    <w:rPr>
      <w:rFonts w:ascii="Times New Roman" w:eastAsia="Times New Roman" w:hAnsi="Times New Roman" w:cs="Times New Roman"/>
      <w:b/>
      <w:smallCap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DA1"/>
    <w:rPr>
      <w:rFonts w:ascii="Times New Roman" w:eastAsia="Times New Roman" w:hAnsi="Times New Roman" w:cs="Times New Roman"/>
      <w:b/>
      <w:smallCaps/>
      <w:sz w:val="24"/>
      <w:szCs w:val="24"/>
    </w:rPr>
  </w:style>
  <w:style w:type="paragraph" w:styleId="Footer">
    <w:name w:val="footer"/>
    <w:basedOn w:val="Normal"/>
    <w:link w:val="FooterChar"/>
    <w:uiPriority w:val="99"/>
    <w:unhideWhenUsed/>
    <w:rsid w:val="000125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256F"/>
  </w:style>
  <w:style w:type="character" w:styleId="PageNumber">
    <w:name w:val="page number"/>
    <w:basedOn w:val="DefaultParagraphFont"/>
    <w:rsid w:val="0001256F"/>
  </w:style>
  <w:style w:type="paragraph" w:customStyle="1" w:styleId="Normaldouble">
    <w:name w:val="Normal double"/>
    <w:basedOn w:val="Normal"/>
    <w:link w:val="NormaldoubleChar"/>
    <w:rsid w:val="0001256F"/>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rsid w:val="0001256F"/>
    <w:rPr>
      <w:rFonts w:ascii="Times New Roman" w:eastAsia="Times New Roman" w:hAnsi="Times New Roman" w:cs="Times New Roman"/>
      <w:sz w:val="24"/>
      <w:szCs w:val="20"/>
    </w:rPr>
  </w:style>
  <w:style w:type="paragraph" w:styleId="FootnoteText">
    <w:name w:val="footnote text"/>
    <w:basedOn w:val="Normal"/>
    <w:next w:val="Normal"/>
    <w:link w:val="FootnoteTextChar"/>
    <w:uiPriority w:val="99"/>
    <w:semiHidden/>
    <w:rsid w:val="0001256F"/>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01256F"/>
    <w:rPr>
      <w:rFonts w:ascii="Times New Roman" w:eastAsia="Times New Roman" w:hAnsi="Times New Roman" w:cs="Times New Roman"/>
      <w:sz w:val="20"/>
      <w:szCs w:val="20"/>
    </w:rPr>
  </w:style>
  <w:style w:type="character" w:styleId="FootnoteReference">
    <w:name w:val="footnote reference"/>
    <w:uiPriority w:val="99"/>
    <w:semiHidden/>
    <w:rsid w:val="0001256F"/>
    <w:rPr>
      <w:position w:val="6"/>
      <w:sz w:val="16"/>
    </w:rPr>
  </w:style>
  <w:style w:type="paragraph" w:styleId="ListParagraph">
    <w:name w:val="List Paragraph"/>
    <w:basedOn w:val="Normal"/>
    <w:uiPriority w:val="34"/>
    <w:qFormat/>
    <w:rsid w:val="0001256F"/>
    <w:pPr>
      <w:ind w:left="720"/>
      <w:contextualSpacing/>
    </w:pPr>
  </w:style>
  <w:style w:type="character" w:styleId="CommentReference">
    <w:name w:val="annotation reference"/>
    <w:basedOn w:val="DefaultParagraphFont"/>
    <w:uiPriority w:val="99"/>
    <w:semiHidden/>
    <w:unhideWhenUsed/>
    <w:rsid w:val="00EA1DDD"/>
    <w:rPr>
      <w:sz w:val="16"/>
      <w:szCs w:val="16"/>
    </w:rPr>
  </w:style>
  <w:style w:type="paragraph" w:styleId="CommentText">
    <w:name w:val="annotation text"/>
    <w:basedOn w:val="Normal"/>
    <w:link w:val="CommentTextChar"/>
    <w:uiPriority w:val="99"/>
    <w:semiHidden/>
    <w:unhideWhenUsed/>
    <w:rsid w:val="00EA1DDD"/>
    <w:pPr>
      <w:spacing w:line="240" w:lineRule="auto"/>
    </w:pPr>
    <w:rPr>
      <w:sz w:val="20"/>
      <w:szCs w:val="20"/>
    </w:rPr>
  </w:style>
  <w:style w:type="character" w:customStyle="1" w:styleId="CommentTextChar">
    <w:name w:val="Comment Text Char"/>
    <w:basedOn w:val="DefaultParagraphFont"/>
    <w:link w:val="CommentText"/>
    <w:uiPriority w:val="99"/>
    <w:semiHidden/>
    <w:rsid w:val="00EA1DDD"/>
    <w:rPr>
      <w:sz w:val="20"/>
      <w:szCs w:val="20"/>
    </w:rPr>
  </w:style>
  <w:style w:type="paragraph" w:styleId="CommentSubject">
    <w:name w:val="annotation subject"/>
    <w:basedOn w:val="CommentText"/>
    <w:next w:val="CommentText"/>
    <w:link w:val="CommentSubjectChar"/>
    <w:uiPriority w:val="99"/>
    <w:semiHidden/>
    <w:unhideWhenUsed/>
    <w:rsid w:val="00EA1DDD"/>
    <w:rPr>
      <w:b/>
      <w:bCs/>
    </w:rPr>
  </w:style>
  <w:style w:type="character" w:customStyle="1" w:styleId="CommentSubjectChar">
    <w:name w:val="Comment Subject Char"/>
    <w:basedOn w:val="CommentTextChar"/>
    <w:link w:val="CommentSubject"/>
    <w:uiPriority w:val="99"/>
    <w:semiHidden/>
    <w:rsid w:val="00EA1DDD"/>
    <w:rPr>
      <w:b/>
      <w:bCs/>
      <w:sz w:val="20"/>
      <w:szCs w:val="20"/>
    </w:rPr>
  </w:style>
  <w:style w:type="paragraph" w:styleId="BalloonText">
    <w:name w:val="Balloon Text"/>
    <w:basedOn w:val="Normal"/>
    <w:link w:val="BalloonTextChar"/>
    <w:uiPriority w:val="99"/>
    <w:semiHidden/>
    <w:unhideWhenUsed/>
    <w:rsid w:val="00EA1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1DDD"/>
    <w:rPr>
      <w:rFonts w:ascii="Segoe UI" w:hAnsi="Segoe UI" w:cs="Segoe UI"/>
      <w:sz w:val="18"/>
      <w:szCs w:val="18"/>
    </w:rPr>
  </w:style>
  <w:style w:type="paragraph" w:styleId="Header">
    <w:name w:val="header"/>
    <w:basedOn w:val="Normal"/>
    <w:link w:val="HeaderChar"/>
    <w:uiPriority w:val="99"/>
    <w:unhideWhenUsed/>
    <w:rsid w:val="005D4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48FB"/>
  </w:style>
  <w:style w:type="paragraph" w:styleId="Revision">
    <w:name w:val="Revision"/>
    <w:hidden/>
    <w:uiPriority w:val="99"/>
    <w:semiHidden/>
    <w:rsid w:val="000A3F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E276B-6C9A-4A54-B707-B60E6314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1614</Words>
  <Characters>9204</Characters>
  <Application>Microsoft Office Word</Application>
  <DocSecurity>0</DocSecurity>
  <Lines>76</Lines>
  <Paragraphs>21</Paragraphs>
  <ScaleCrop>false</ScaleCrop>
  <Company/>
  <LinksUpToDate>false</LinksUpToDate>
  <CharactersWithSpaces>10797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2020-03-26T17:09:00Z</dcterms:created>
  <dcterms:modified xsi:type="dcterms:W3CDTF">2020-03-26T17:09:00Z</dcterms:modified>
</cp:coreProperties>
</file>